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635.395325pt;width:595.3pt;height:206.5pt;mso-position-horizontal-relative:page;mso-position-vertical-relative:page;z-index:1096" coordorigin="0,12708" coordsize="11906,4130">
            <v:shape style="position:absolute;left:0;top:15051;width:11906;height:1787" coordorigin="0,15051" coordsize="11906,1787" path="m11906,15051l0,15771,0,16838,11906,16838,11906,15051xe" filled="true" fillcolor="#3fc3db" stroked="false">
              <v:path arrowok="t"/>
              <v:fill type="solid"/>
            </v:shape>
            <v:shape style="position:absolute;left:0;top:12707;width:8632;height:4130" coordorigin="0,12708" coordsize="8632,4130" path="m2577,12708l0,14436,0,16838,8631,16838,2577,12708xe" filled="true" fillcolor="#009a49" stroked="false">
              <v:path arrowok="t"/>
              <v:fill opacity="52428f" type="solid"/>
            </v:shape>
            <v:shape style="position:absolute;left:3277;top:16681;width:208;height:109" coordorigin="3278,16681" coordsize="208,109" path="m3486,16681l3278,16720,3278,16790,3486,16681xe" filled="true" fillcolor="#efeff1" stroked="false">
              <v:path arrowok="t"/>
              <v:fill opacity="24247f" type="solid"/>
            </v:shape>
            <v:shape style="position:absolute;left:3620;top:16445;width:1119;height:392" coordorigin="3620,16446" coordsize="1119,392" path="m4739,16446l4163,16554,3620,16838,3990,16838,4739,16446xe" filled="true" fillcolor="#efeff1" stroked="false">
              <v:path arrowok="t"/>
              <v:fill opacity="26870f" type="solid"/>
            </v:shape>
            <v:shape style="position:absolute;left:4423;top:16210;width:1568;height:628" coordorigin="4424,16211" coordsize="1568,628" path="m5992,16211l5416,16319,4424,16838,4793,16838,5992,16211xe" filled="true" fillcolor="#efeff1" stroked="false">
              <v:path arrowok="t"/>
              <v:fill opacity="30801f" type="solid"/>
            </v:shape>
            <v:shape style="position:absolute;left:5227;top:15975;width:2018;height:863" coordorigin="5228,15975" coordsize="2018,863" path="m7245,15975l6669,16083,5228,16838,5597,16838,7245,15975xe" filled="true" fillcolor="#efeff1" stroked="false">
              <v:path arrowok="t"/>
              <v:fill opacity="34078f" type="solid"/>
            </v:shape>
            <v:shape style="position:absolute;left:6031;top:15740;width:2467;height:1098" coordorigin="6031,15740" coordsize="2467,1098" path="m8498,15740l7922,15848,6031,16838,6401,16838,8498,15740xe" filled="true" fillcolor="#efeff1" stroked="false">
              <v:path arrowok="t"/>
              <v:fill opacity="37355f" type="solid"/>
            </v:shape>
            <v:shape style="position:absolute;left:7638;top:15269;width:3366;height:1569" coordorigin="7639,15270" coordsize="3366,1569" path="m11004,15270l10428,15378,7639,16838,8008,16838,11004,15270xe" filled="true" fillcolor="#efeff1" stroked="false">
              <v:path arrowok="t"/>
              <v:fill opacity="45219f" type="solid"/>
            </v:shape>
            <v:shape style="position:absolute;left:9245;top:15445;width:2660;height:1393" coordorigin="9246,15446" coordsize="2660,1393" path="m11906,15446l9246,16838,9615,16838,11906,15639,11906,15446xe" filled="true" fillcolor="#efeff1" stroked="false">
              <v:path arrowok="t"/>
              <v:fill opacity="51772f" type="solid"/>
            </v:shape>
            <v:shape style="position:absolute;left:10853;top:16286;width:1053;height:551" coordorigin="10853,16287" coordsize="1053,551" path="m11906,16287l10853,16838,11223,16838,11906,16480,11906,16287xe" filled="true" fillcolor="#efeff1" stroked="false">
              <v:path arrowok="t"/>
              <v:fill opacity="57672f" type="solid"/>
            </v:shape>
            <v:shape style="position:absolute;left:11656;top:16707;width:249;height:131" coordorigin="11657,16708" coordsize="249,131" path="m11906,16708l11657,16838,11906,16838,11906,16708xe" filled="true" fillcolor="#efeff1" stroked="false">
              <v:path arrowok="t"/>
              <v:fill opacity="60292f" type="solid"/>
            </v:shape>
            <v:shape style="position:absolute;left:10049;top:15866;width:1856;height:972" coordorigin="10050,15866" coordsize="1856,972" path="m11906,15866l10050,16838,10419,16838,11906,16060,11906,15866xe" filled="true" fillcolor="#efeff1" stroked="false">
              <v:path arrowok="t"/>
              <v:fill opacity="55049f" type="solid"/>
            </v:shape>
            <v:shape style="position:absolute;left:8442;top:15100;width:3464;height:1738" coordorigin="8442,15100" coordsize="3464,1738" path="m11906,15100l11681,15143,8442,16838,8812,16838,11906,15218,11906,15100xe" filled="true" fillcolor="#efeff1" stroked="false">
              <v:path arrowok="t"/>
              <v:fill opacity="48496f" type="solid"/>
            </v:shape>
            <v:shape style="position:absolute;left:6834;top:15504;width:2916;height:1333" coordorigin="6835,15505" coordsize="2916,1333" path="m9751,15505l9175,15613,6835,16838,7204,16838,9751,15505xe" filled="true" fillcolor="#efeff1" stroked="false">
              <v:path arrowok="t"/>
              <v:fill opacity="40631f" type="solid"/>
            </v:shape>
            <v:shape style="position:absolute;left:0;top:12843;width:9450;height:3995" coordorigin="0,12843" coordsize="9450,3995" path="m2369,12843l0,14432,0,16838,9449,16838,2369,12843xe" filled="true" fillcolor="#5d6567" stroked="false">
              <v:path arrowok="t"/>
              <v:fill opacity="10486f" type="solid"/>
            </v:shape>
            <v:shape style="position:absolute;left:250;top:14776;width:485;height:1799" coordorigin="250,14777" coordsize="485,1799" path="m315,14813l311,14809,294,14809,291,14813,291,14822,294,14825,311,14825,315,14822,315,14813m348,14815l345,14811,344,14811,343,14810,340,14809,338,14809,336,14810,335,14810,334,14811,334,14811,330,14815,330,14820,334,14823,334,14824,335,14824,338,14825,340,14825,343,14824,344,14824,345,14823,348,14820,348,14815m380,14814l378,14811,372,14808,368,14809,366,14811,365,14812,365,14813,363,14816,363,14818,365,14821,365,14822,366,14823,369,14826,374,14826,377,14823,378,14822,379,14821,379,14819,380,14818,380,14814m735,16228l721,16233,707,16238,693,16241,678,16243,692,16233,705,16220,710,16213,715,16205,722,16188,707,16196,691,16203,675,16208,659,16213,644,16199,626,16190,607,16183,586,16181,547,16189,516,16210,494,16242,487,16281,487,16288,487,16296,489,16303,429,16294,374,16272,325,16240,284,16199,278,16211,274,16223,272,16236,271,16249,274,16274,283,16297,297,16316,315,16332,303,16331,291,16328,280,16325,270,16320,270,16321,276,16355,293,16384,318,16406,350,16418,341,16421,333,16422,317,16422,311,16421,305,16420,318,16447,340,16469,367,16483,398,16489,370,16507,341,16520,308,16529,274,16532,266,16532,258,16531,250,16530,285,16549,322,16563,361,16572,403,16575,487,16563,556,16532,557,16531,613,16483,653,16424,654,16422,677,16359,681,16332,684,16303,686,16292,685,16279,700,16268,713,16256,723,16243,724,16242,735,16228m735,14817l732,14801,726,14793,723,14789,719,14786,719,14804,719,14841,719,14858,719,15235,708,15245,277,15245,267,15235,267,14858,719,14858,719,14841,267,14841,267,14804,277,14793,708,14793,719,14804,719,14786,710,14780,695,14777,291,14777,275,14780,262,14789,254,14801,250,14817,250,15221,254,15237,262,15250,275,15258,291,15262,695,15262,710,15258,723,15250,726,15245,732,15237,735,15221,735,14858,735,14841,735,14817e" filled="true" fillcolor="#ffffff" stroked="false">
              <v:path arrowok="t"/>
              <v:fill type="solid"/>
            </v:shape>
            <v:line style="position:absolute" from="404,14817" to="695,14817" stroked="true" strokeweight=".808pt" strokecolor="#ffffff">
              <v:stroke dashstyle="solid"/>
            </v:line>
            <v:shape style="position:absolute;left:331;top:14889;width:324;height:324" type="#_x0000_t75" stroked="false">
              <v:imagedata r:id="rId5" o:title=""/>
            </v:shape>
            <v:shape style="position:absolute;left:544;top:15707;width:108;height:101" type="#_x0000_t75" stroked="false">
              <v:imagedata r:id="rId6" o:title=""/>
            </v:shape>
            <v:shape style="position:absolute;left:333;top:15707;width:108;height:101" type="#_x0000_t75" stroked="false">
              <v:imagedata r:id="rId7" o:title=""/>
            </v:shape>
            <v:shape style="position:absolute;left:250;top:15542;width:485;height:345" coordorigin="250,15542" coordsize="485,345" path="m735,15581l732,15566,726,15558,724,15554,719,15551,719,15571,719,15861,709,15871,277,15871,266,15861,266,15571,472,15750,482,15754,503,15754,514,15750,527,15738,719,15571,719,15551,711,15545,710,15545,710,15558,511,15732,503,15736,493,15738,483,15736,474,15732,276,15558,277,15558,709,15558,710,15558,710,15545,696,15542,289,15542,274,15545,262,15554,253,15566,250,15581,250,15848,253,15863,262,15875,274,15884,289,15887,696,15887,711,15884,724,15875,726,15871,732,15863,735,15848,735,15581e" filled="true" fillcolor="#ffffff" stroked="false">
              <v:path arrowok="t"/>
              <v:fill type="solid"/>
            </v:shape>
            <v:shapetype id="_x0000_t202" o:spt="202" coordsize="21600,21600" path="m,l,21600r21600,l21600,xe">
              <v:stroke joinstyle="miter"/>
              <v:path gradientshapeok="t" o:connecttype="rect"/>
            </v:shapetype>
            <v:shape style="position:absolute;left:0;top:12707;width:11906;height:4130" type="#_x0000_t202" filled="false" stroked="false">
              <v:textbox inset="0,0,0,0">
                <w:txbxContent>
                  <w:p>
                    <w:pPr>
                      <w:spacing w:line="240" w:lineRule="auto" w:before="0"/>
                      <w:rPr>
                        <w:rFonts w:ascii="Myriad Pro"/>
                        <w:b/>
                        <w:sz w:val="46"/>
                      </w:rPr>
                    </w:pPr>
                  </w:p>
                  <w:p>
                    <w:pPr>
                      <w:spacing w:line="240" w:lineRule="auto" w:before="0"/>
                      <w:rPr>
                        <w:rFonts w:ascii="Myriad Pro"/>
                        <w:b/>
                        <w:sz w:val="46"/>
                      </w:rPr>
                    </w:pPr>
                  </w:p>
                  <w:p>
                    <w:pPr>
                      <w:spacing w:line="240" w:lineRule="auto" w:before="0"/>
                      <w:rPr>
                        <w:rFonts w:ascii="Myriad Pro"/>
                        <w:b/>
                        <w:sz w:val="46"/>
                      </w:rPr>
                    </w:pPr>
                  </w:p>
                  <w:p>
                    <w:pPr>
                      <w:spacing w:line="357" w:lineRule="auto" w:before="294"/>
                      <w:ind w:left="952" w:right="7771" w:firstLine="0"/>
                      <w:jc w:val="left"/>
                      <w:rPr>
                        <w:rFonts w:ascii="Myriad Pro Light"/>
                        <w:b/>
                        <w:sz w:val="38"/>
                      </w:rPr>
                    </w:pPr>
                    <w:hyperlink r:id="rId8">
                      <w:r>
                        <w:rPr>
                          <w:rFonts w:ascii="Myriad Pro Light"/>
                          <w:b/>
                          <w:color w:val="FFFFFF"/>
                          <w:sz w:val="38"/>
                        </w:rPr>
                        <w:t>www.leap-re.eu</w:t>
                      </w:r>
                    </w:hyperlink>
                    <w:r>
                      <w:rPr>
                        <w:rFonts w:ascii="Myriad Pro Light"/>
                        <w:b/>
                        <w:color w:val="FFFFFF"/>
                        <w:sz w:val="38"/>
                      </w:rPr>
                      <w:t> </w:t>
                    </w:r>
                    <w:hyperlink r:id="rId9">
                      <w:r>
                        <w:rPr>
                          <w:rFonts w:ascii="Myriad Pro Light"/>
                          <w:b/>
                          <w:color w:val="FFFFFF"/>
                          <w:sz w:val="38"/>
                        </w:rPr>
                        <w:t>contact@leap-re.eu</w:t>
                      </w:r>
                    </w:hyperlink>
                    <w:r>
                      <w:rPr>
                        <w:rFonts w:ascii="Myriad Pro Light"/>
                        <w:b/>
                        <w:color w:val="FFFFFF"/>
                        <w:sz w:val="38"/>
                      </w:rPr>
                      <w:t> @leapRE_EU</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32" w:lineRule="auto" w:before="295"/>
        <w:ind w:left="652" w:right="0" w:firstLine="0"/>
        <w:jc w:val="left"/>
        <w:rPr>
          <w:rFonts w:ascii="Myriad Pro"/>
          <w:b/>
          <w:sz w:val="120"/>
        </w:rPr>
      </w:pPr>
      <w:r>
        <w:rPr/>
        <w:pict>
          <v:group style="position:absolute;margin-left:-.000001pt;margin-top:-391.881042pt;width:595.3pt;height:363.1pt;mso-position-horizontal-relative:page;mso-position-vertical-relative:paragraph;z-index:1048" coordorigin="0,-7838" coordsize="11906,7262">
            <v:shape style="position:absolute;left:0;top:-7838;width:8811;height:3265" coordorigin="0,-7838" coordsize="8811,3265" path="m8811,-7838l0,-7838,0,-4573,8811,-7838xe" filled="true" fillcolor="#38bed4" stroked="false">
              <v:path arrowok="t"/>
              <v:fill type="solid"/>
            </v:shape>
            <v:shape style="position:absolute;left:0;top:-7838;width:11906;height:4409" coordorigin="0,-7838" coordsize="11906,4409" path="m11906,-7838l7549,-7838,1636,-7838,0,-7838,0,-5678,3504,-6680,8752,-3429,11906,-5584,11906,-7838e" filled="true" fillcolor="#009a49" stroked="false">
              <v:path arrowok="t"/>
              <v:fill type="solid"/>
            </v:shape>
            <v:shape style="position:absolute;left:2377;top:-7838;width:8768;height:2801" coordorigin="2377,-7838" coordsize="8768,2801" path="m11144,-7838l2377,-7838,8442,-5037,11144,-7838xe" filled="true" fillcolor="#5d6567" stroked="false">
              <v:path arrowok="t"/>
              <v:fill opacity="10486f" type="solid"/>
            </v:shape>
            <v:shape style="position:absolute;left:3677;top:-7838;width:8229;height:2801" coordorigin="3677,-7838" coordsize="8229,2801" path="m11906,-7838l3677,-7838,8422,-5037,11906,-6054,11906,-7838xe" filled="true" fillcolor="#38bed4" stroked="false">
              <v:path arrowok="t"/>
              <v:fill type="solid"/>
            </v:shape>
            <v:shape style="position:absolute;left:0;top:-7838;width:9492;height:4502" coordorigin="0,-7838" coordsize="9492,4502" path="m9492,-7838l0,-7838,0,-3336,9492,-7838xe" filled="true" fillcolor="#c9cdd3" stroked="false">
              <v:path arrowok="t"/>
              <v:fill opacity="14417f" type="solid"/>
            </v:shape>
            <v:shape style="position:absolute;left:3180;top:-7838;width:2415;height:1171" coordorigin="3181,-7838" coordsize="2415,1171" path="m5595,-7838l5225,-7838,3181,-6772,3350,-6667,5595,-7838xe" filled="true" fillcolor="#efeff1" stroked="false">
              <v:path arrowok="t"/>
              <v:fill opacity="16384f" type="solid"/>
            </v:shape>
            <v:shape style="position:absolute;left:3548;top:-7838;width:2853;height:1400" coordorigin="3549,-7838" coordsize="2853,1400" path="m6401,-7838l6030,-7838,3549,-6543,3718,-6438,6401,-7838xe" filled="true" fillcolor="#efeff1" stroked="false">
              <v:path arrowok="t"/>
              <v:fill opacity="19004f" type="solid"/>
            </v:shape>
            <v:shape style="position:absolute;left:3916;top:-7838;width:3290;height:1628" coordorigin="3917,-7838" coordsize="3290,1628" path="m7206,-7838l6836,-7838,3917,-6315,4086,-6210,7206,-7838xe" filled="true" fillcolor="#efeff1" stroked="false">
              <v:path arrowok="t"/>
              <v:fill opacity="20971f" type="solid"/>
            </v:shape>
            <v:shape style="position:absolute;left:4284;top:-7838;width:3728;height:1856" coordorigin="4285,-7838" coordsize="3728,1856" path="m8012,-7838l7642,-7838,4285,-6087,4454,-5982,8012,-7838xe" filled="true" fillcolor="#efeff1" stroked="false">
              <v:path arrowok="t"/>
              <v:fill opacity="24247f" type="solid"/>
            </v:shape>
            <v:shape style="position:absolute;left:4652;top:-7838;width:4166;height:2085" coordorigin="4653,-7838" coordsize="4166,2085" path="m8818,-7838l8447,-7838,4653,-5858,4822,-5753,8818,-7838xe" filled="true" fillcolor="#efeff1" stroked="false">
              <v:path arrowok="t"/>
              <v:fill opacity="26870f" type="solid"/>
            </v:shape>
            <v:shape style="position:absolute;left:5020;top:-7838;width:4603;height:2313" coordorigin="5021,-7838" coordsize="4603,2313" path="m9624,-7838l9253,-7838,5021,-5630,5190,-5525,9624,-7838xe" filled="true" fillcolor="#efeff1" stroked="false">
              <v:path arrowok="t"/>
              <v:fill opacity="30801f" type="solid"/>
            </v:shape>
            <v:shape style="position:absolute;left:5388;top:-7838;width:5041;height:2541" coordorigin="5389,-7838" coordsize="5041,2541" path="m10429,-7838l10059,-7838,5389,-5402,5558,-5297,10429,-7838xe" filled="true" fillcolor="#efeff1" stroked="false">
              <v:path arrowok="t"/>
              <v:fill opacity="34078f" type="solid"/>
            </v:shape>
            <v:shape style="position:absolute;left:5756;top:-7838;width:5479;height:2769" coordorigin="5757,-7838" coordsize="5479,2769" path="m11235,-7838l10865,-7838,5757,-5174,5926,-5069,11235,-7838xe" filled="true" fillcolor="#efeff1" stroked="false">
              <v:path arrowok="t"/>
              <v:fill opacity="37355f" type="solid"/>
            </v:shape>
            <v:shape style="position:absolute;left:6492;top:-7541;width:5413;height:2929" coordorigin="6493,-7540" coordsize="5413,2929" path="m11906,-7540l6493,-4717,6662,-4612,11906,-7347,11906,-7540xe" filled="true" fillcolor="#efeff1" stroked="false">
              <v:path arrowok="t"/>
              <v:fill opacity="45219f" type="solid"/>
            </v:shape>
            <v:shape style="position:absolute;left:7228;top:-6700;width:4677;height:2545" coordorigin="7229,-6700" coordsize="4677,2545" path="m11906,-6700l7229,-4260,7398,-4155,11906,-6506,11906,-6700xe" filled="true" fillcolor="#efeff1" stroked="false">
              <v:path arrowok="t"/>
              <v:fill opacity="51772f" type="solid"/>
            </v:shape>
            <v:shape style="position:absolute;left:7964;top:-5860;width:3941;height:2161" coordorigin="7965,-5859" coordsize="3941,2161" path="m11906,-5859l7965,-3804,8134,-3699,11906,-5666,11906,-5859xe" filled="true" fillcolor="#efeff1" stroked="false">
              <v:path arrowok="t"/>
              <v:fill opacity="57672f" type="solid"/>
            </v:shape>
            <v:shape style="position:absolute;left:8332;top:-4870;width:2482;height:1400" coordorigin="8333,-4870" coordsize="2482,1400" path="m10814,-4870l8333,-3576,8502,-3471,9601,-4044,10814,-4870xe" filled="true" fillcolor="#efeff1" stroked="false">
              <v:path arrowok="t"/>
              <v:fill opacity="60292f" type="solid"/>
            </v:shape>
            <v:shape style="position:absolute;left:7596;top:-6280;width:4309;height:2353" coordorigin="7597,-6279" coordsize="4309,2353" path="m11906,-6279l7597,-4032,7766,-3927,11906,-6086,11906,-6279xe" filled="true" fillcolor="#efeff1" stroked="false">
              <v:path arrowok="t"/>
              <v:fill opacity="55049f" type="solid"/>
            </v:shape>
            <v:shape style="position:absolute;left:6860;top:-7120;width:5045;height:2737" coordorigin="6861,-7120" coordsize="5045,2737" path="m11906,-7120l6861,-4489,7030,-4384,11906,-6927,11906,-7120xe" filled="true" fillcolor="#efeff1" stroked="false">
              <v:path arrowok="t"/>
              <v:fill opacity="48496f" type="solid"/>
            </v:shape>
            <v:shape style="position:absolute;left:6124;top:-7838;width:5781;height:2998" coordorigin="6125,-7838" coordsize="5781,2998" path="m11906,-7838l11670,-7838,6125,-4945,6294,-4840,11906,-7767,11906,-7838xe" filled="true" fillcolor="#efeff1" stroked="false">
              <v:path arrowok="t"/>
              <v:fill opacity="40631f" type="solid"/>
            </v:shape>
            <v:shape style="position:absolute;left:2112;top:-3705;width:7687;height:3129" type="#_x0000_t75" stroked="false">
              <v:imagedata r:id="rId10" o:title=""/>
            </v:shape>
            <v:shape style="position:absolute;left:8485;top:-7538;width:3197;height:1048" type="#_x0000_t202" filled="false" stroked="false">
              <v:textbox inset="0,0,0,0">
                <w:txbxContent>
                  <w:p>
                    <w:pPr>
                      <w:spacing w:line="359" w:lineRule="exact" w:before="0"/>
                      <w:ind w:left="0" w:right="0" w:firstLine="0"/>
                      <w:jc w:val="left"/>
                      <w:rPr>
                        <w:rFonts w:ascii="Myriad Pro Light"/>
                        <w:b/>
                        <w:sz w:val="30"/>
                      </w:rPr>
                    </w:pPr>
                    <w:r>
                      <w:rPr>
                        <w:rFonts w:ascii="Myriad Pro Light"/>
                        <w:b/>
                        <w:color w:val="FFFFFF"/>
                        <w:sz w:val="30"/>
                      </w:rPr>
                      <w:t>BACKGROUND </w:t>
                    </w:r>
                    <w:r>
                      <w:rPr>
                        <w:rFonts w:ascii="Myriad Pro Light"/>
                        <w:b/>
                        <w:color w:val="FFFFFF"/>
                        <w:spacing w:val="-5"/>
                        <w:sz w:val="30"/>
                      </w:rPr>
                      <w:t>PAPER</w:t>
                    </w:r>
                    <w:r>
                      <w:rPr>
                        <w:rFonts w:ascii="Myriad Pro Light"/>
                        <w:b/>
                        <w:color w:val="FFFFFF"/>
                        <w:spacing w:val="3"/>
                        <w:sz w:val="30"/>
                      </w:rPr>
                      <w:t> </w:t>
                    </w:r>
                    <w:r>
                      <w:rPr>
                        <w:rFonts w:ascii="Myriad Pro Light"/>
                        <w:b/>
                        <w:color w:val="FFFFFF"/>
                        <w:sz w:val="30"/>
                      </w:rPr>
                      <w:t>#3</w:t>
                    </w:r>
                  </w:p>
                  <w:p>
                    <w:pPr>
                      <w:spacing w:line="343" w:lineRule="exact" w:before="0"/>
                      <w:ind w:left="1341" w:right="0" w:firstLine="0"/>
                      <w:jc w:val="left"/>
                      <w:rPr>
                        <w:sz w:val="30"/>
                      </w:rPr>
                    </w:pPr>
                    <w:r>
                      <w:rPr>
                        <w:color w:val="FFFFFF"/>
                        <w:sz w:val="30"/>
                      </w:rPr>
                      <w:t>Draft Version</w:t>
                    </w:r>
                    <w:r>
                      <w:rPr>
                        <w:color w:val="FFFFFF"/>
                        <w:spacing w:val="-16"/>
                        <w:sz w:val="30"/>
                      </w:rPr>
                      <w:t> </w:t>
                    </w:r>
                    <w:r>
                      <w:rPr>
                        <w:color w:val="FFFFFF"/>
                        <w:sz w:val="30"/>
                      </w:rPr>
                      <w:t>6</w:t>
                    </w:r>
                  </w:p>
                  <w:p>
                    <w:pPr>
                      <w:spacing w:line="345" w:lineRule="exact" w:before="0"/>
                      <w:ind w:left="1620" w:right="0" w:firstLine="0"/>
                      <w:jc w:val="left"/>
                      <w:rPr>
                        <w:sz w:val="30"/>
                      </w:rPr>
                    </w:pPr>
                    <w:r>
                      <w:rPr>
                        <w:color w:val="FFFFFF"/>
                        <w:sz w:val="30"/>
                      </w:rPr>
                      <w:t>21 May</w:t>
                    </w:r>
                    <w:r>
                      <w:rPr>
                        <w:color w:val="FFFFFF"/>
                        <w:spacing w:val="-30"/>
                        <w:sz w:val="30"/>
                      </w:rPr>
                      <w:t> </w:t>
                    </w:r>
                    <w:r>
                      <w:rPr>
                        <w:color w:val="FFFFFF"/>
                        <w:sz w:val="30"/>
                      </w:rPr>
                      <w:t>2019</w:t>
                    </w:r>
                  </w:p>
                </w:txbxContent>
              </v:textbox>
              <w10:wrap type="none"/>
            </v:shape>
            <w10:wrap type="none"/>
          </v:group>
        </w:pict>
      </w:r>
      <w:bookmarkStart w:name="BG Paper 3 - FRONT.pdf" w:id="1"/>
      <w:bookmarkEnd w:id="1"/>
      <w:r>
        <w:rPr/>
      </w:r>
      <w:r>
        <w:rPr>
          <w:rFonts w:ascii="Myriad Pro"/>
          <w:b/>
          <w:color w:val="414042"/>
          <w:sz w:val="120"/>
        </w:rPr>
        <w:t>Long-Term Perspective</w:t>
      </w:r>
    </w:p>
    <w:p>
      <w:pPr>
        <w:spacing w:after="0" w:line="232" w:lineRule="auto"/>
        <w:jc w:val="left"/>
        <w:rPr>
          <w:rFonts w:ascii="Myriad Pro"/>
          <w:sz w:val="120"/>
        </w:rPr>
        <w:sectPr>
          <w:type w:val="continuous"/>
          <w:pgSz w:w="11910" w:h="16840"/>
          <w:pgMar w:top="0" w:bottom="0" w:left="0" w:right="0"/>
        </w:sectPr>
      </w:pPr>
    </w:p>
    <w:p>
      <w:pPr>
        <w:pStyle w:val="BodyText"/>
        <w:spacing w:before="4"/>
        <w:rPr>
          <w:rFonts w:ascii="Times New Roman"/>
          <w:sz w:val="17"/>
        </w:rPr>
      </w:pPr>
    </w:p>
    <w:p>
      <w:pPr>
        <w:spacing w:after="0"/>
        <w:rPr>
          <w:rFonts w:ascii="Times New Roman"/>
          <w:sz w:val="17"/>
        </w:rPr>
        <w:sectPr>
          <w:pgSz w:w="11910" w:h="16840"/>
          <w:pgMar w:top="1580" w:bottom="280" w:left="0" w:right="0"/>
        </w:sectPr>
      </w:pPr>
    </w:p>
    <w:p>
      <w:pPr>
        <w:tabs>
          <w:tab w:pos="9930" w:val="left" w:leader="none"/>
        </w:tabs>
        <w:spacing w:line="240" w:lineRule="auto"/>
        <w:ind w:left="1039" w:right="0" w:firstLine="0"/>
        <w:rPr>
          <w:rFonts w:ascii="Times New Roman"/>
          <w:sz w:val="20"/>
        </w:rPr>
      </w:pPr>
      <w:r>
        <w:rPr>
          <w:rFonts w:ascii="Times New Roman"/>
          <w:position w:val="5"/>
          <w:sz w:val="20"/>
        </w:rPr>
        <w:drawing>
          <wp:inline distT="0" distB="0" distL="0" distR="0">
            <wp:extent cx="2190804" cy="359282"/>
            <wp:effectExtent l="0" t="0" r="0" b="0"/>
            <wp:docPr id="1" name="image5.png" descr=""/>
            <wp:cNvGraphicFramePr>
              <a:graphicFrameLocks noChangeAspect="1"/>
            </wp:cNvGraphicFramePr>
            <a:graphic>
              <a:graphicData uri="http://schemas.openxmlformats.org/drawingml/2006/picture">
                <pic:pic>
                  <pic:nvPicPr>
                    <pic:cNvPr id="2" name="image5.png"/>
                    <pic:cNvPicPr/>
                  </pic:nvPicPr>
                  <pic:blipFill>
                    <a:blip r:embed="rId11" cstate="print"/>
                    <a:stretch>
                      <a:fillRect/>
                    </a:stretch>
                  </pic:blipFill>
                  <pic:spPr>
                    <a:xfrm>
                      <a:off x="0" y="0"/>
                      <a:ext cx="2190804" cy="359282"/>
                    </a:xfrm>
                    <a:prstGeom prst="rect">
                      <a:avLst/>
                    </a:prstGeom>
                  </pic:spPr>
                </pic:pic>
              </a:graphicData>
            </a:graphic>
          </wp:inline>
        </w:drawing>
      </w:r>
      <w:r>
        <w:rPr>
          <w:rFonts w:ascii="Times New Roman"/>
          <w:position w:val="5"/>
          <w:sz w:val="20"/>
        </w:rPr>
      </w:r>
      <w:r>
        <w:rPr>
          <w:rFonts w:ascii="Times New Roman"/>
          <w:position w:val="5"/>
          <w:sz w:val="20"/>
        </w:rPr>
        <w:tab/>
      </w:r>
      <w:r>
        <w:rPr>
          <w:rFonts w:ascii="Times New Roman"/>
          <w:sz w:val="20"/>
        </w:rPr>
        <w:drawing>
          <wp:inline distT="0" distB="0" distL="0" distR="0">
            <wp:extent cx="561993" cy="382143"/>
            <wp:effectExtent l="0" t="0" r="0" b="0"/>
            <wp:docPr id="3" name="image6.jpeg" descr=""/>
            <wp:cNvGraphicFramePr>
              <a:graphicFrameLocks noChangeAspect="1"/>
            </wp:cNvGraphicFramePr>
            <a:graphic>
              <a:graphicData uri="http://schemas.openxmlformats.org/drawingml/2006/picture">
                <pic:pic>
                  <pic:nvPicPr>
                    <pic:cNvPr id="4" name="image6.jpeg"/>
                    <pic:cNvPicPr/>
                  </pic:nvPicPr>
                  <pic:blipFill>
                    <a:blip r:embed="rId12" cstate="print"/>
                    <a:stretch>
                      <a:fillRect/>
                    </a:stretch>
                  </pic:blipFill>
                  <pic:spPr>
                    <a:xfrm>
                      <a:off x="0" y="0"/>
                      <a:ext cx="561993" cy="382143"/>
                    </a:xfrm>
                    <a:prstGeom prst="rect">
                      <a:avLst/>
                    </a:prstGeom>
                  </pic:spPr>
                </pic:pic>
              </a:graphicData>
            </a:graphic>
          </wp:inline>
        </w:drawing>
      </w:r>
      <w:r>
        <w:rPr>
          <w:rFonts w:ascii="Times New Roman"/>
          <w:sz w:val="20"/>
        </w:rPr>
      </w:r>
    </w:p>
    <w:p>
      <w:pPr>
        <w:pStyle w:val="BodyText"/>
        <w:spacing w:before="10"/>
        <w:rPr>
          <w:rFonts w:ascii="Times New Roman"/>
        </w:rPr>
      </w:pPr>
    </w:p>
    <w:p>
      <w:pPr>
        <w:spacing w:line="232" w:lineRule="auto" w:before="114"/>
        <w:ind w:left="1039" w:right="1082" w:firstLine="0"/>
        <w:jc w:val="both"/>
        <w:rPr>
          <w:rFonts w:ascii="Myriad Pro"/>
          <w:i/>
          <w:sz w:val="25"/>
        </w:rPr>
      </w:pPr>
      <w:r>
        <w:rPr>
          <w:rFonts w:ascii="Myriad Pro"/>
          <w:i/>
          <w:color w:val="414042"/>
          <w:sz w:val="25"/>
        </w:rPr>
        <w:t>The Background Papers are documents in progress, which will form the basis for the discussion </w:t>
      </w:r>
      <w:r>
        <w:rPr>
          <w:rFonts w:ascii="Myriad Pro"/>
          <w:i/>
          <w:color w:val="414042"/>
          <w:sz w:val="25"/>
        </w:rPr>
        <w:t>with committed stakeholders, who want to contribute to the joint programme LEAP-RE and </w:t>
      </w:r>
      <w:r>
        <w:rPr>
          <w:rFonts w:ascii="Myriad Pro"/>
          <w:i/>
          <w:color w:val="414042"/>
          <w:spacing w:val="-4"/>
          <w:sz w:val="25"/>
        </w:rPr>
        <w:t>who </w:t>
      </w:r>
      <w:r>
        <w:rPr>
          <w:rFonts w:ascii="Myriad Pro"/>
          <w:i/>
          <w:color w:val="414042"/>
          <w:sz w:val="25"/>
        </w:rPr>
        <w:t>may want to become a consortium member or  associated  partner.  Feedback  and  suggestions</w:t>
      </w:r>
      <w:r>
        <w:rPr>
          <w:rFonts w:ascii="Myriad Pro"/>
          <w:i/>
          <w:color w:val="414042"/>
          <w:spacing w:val="45"/>
          <w:sz w:val="25"/>
        </w:rPr>
        <w:t> </w:t>
      </w:r>
      <w:r>
        <w:rPr>
          <w:rFonts w:ascii="Myriad Pro"/>
          <w:i/>
          <w:color w:val="414042"/>
          <w:sz w:val="25"/>
        </w:rPr>
        <w:t>for these documents are welcome. The intention with the Background Papers is to foster </w:t>
      </w:r>
      <w:r>
        <w:rPr>
          <w:rFonts w:ascii="Myriad Pro"/>
          <w:i/>
          <w:color w:val="414042"/>
          <w:spacing w:val="-6"/>
          <w:sz w:val="25"/>
        </w:rPr>
        <w:t>an </w:t>
      </w:r>
      <w:r>
        <w:rPr>
          <w:rFonts w:ascii="Myriad Pro"/>
          <w:i/>
          <w:color w:val="414042"/>
          <w:sz w:val="25"/>
        </w:rPr>
        <w:t>inclusive process as possible. The Background Paper series will be finalized in June/July 2019 after the</w:t>
      </w:r>
      <w:r>
        <w:rPr>
          <w:rFonts w:ascii="Myriad Pro"/>
          <w:i/>
          <w:color w:val="414042"/>
          <w:spacing w:val="3"/>
          <w:sz w:val="25"/>
        </w:rPr>
        <w:t> </w:t>
      </w:r>
      <w:r>
        <w:rPr>
          <w:rFonts w:ascii="Myriad Pro"/>
          <w:i/>
          <w:color w:val="414042"/>
          <w:sz w:val="25"/>
        </w:rPr>
        <w:t>PRE-LEAP-RE</w:t>
      </w:r>
      <w:r>
        <w:rPr>
          <w:rFonts w:ascii="Myriad Pro"/>
          <w:i/>
          <w:color w:val="414042"/>
          <w:spacing w:val="3"/>
          <w:sz w:val="25"/>
        </w:rPr>
        <w:t> </w:t>
      </w:r>
      <w:r>
        <w:rPr>
          <w:rFonts w:ascii="Myriad Pro"/>
          <w:i/>
          <w:color w:val="414042"/>
          <w:sz w:val="25"/>
        </w:rPr>
        <w:t>#2</w:t>
      </w:r>
      <w:r>
        <w:rPr>
          <w:rFonts w:ascii="Myriad Pro"/>
          <w:i/>
          <w:color w:val="414042"/>
          <w:spacing w:val="3"/>
          <w:sz w:val="25"/>
        </w:rPr>
        <w:t> </w:t>
      </w:r>
      <w:r>
        <w:rPr>
          <w:rFonts w:ascii="Myriad Pro"/>
          <w:i/>
          <w:color w:val="414042"/>
          <w:sz w:val="25"/>
        </w:rPr>
        <w:t>Strategic</w:t>
      </w:r>
      <w:r>
        <w:rPr>
          <w:rFonts w:ascii="Myriad Pro"/>
          <w:i/>
          <w:color w:val="414042"/>
          <w:spacing w:val="4"/>
          <w:sz w:val="25"/>
        </w:rPr>
        <w:t> </w:t>
      </w:r>
      <w:r>
        <w:rPr>
          <w:rFonts w:ascii="Myriad Pro"/>
          <w:i/>
          <w:color w:val="414042"/>
          <w:sz w:val="25"/>
        </w:rPr>
        <w:t>Workshop</w:t>
      </w:r>
      <w:r>
        <w:rPr>
          <w:rFonts w:ascii="Myriad Pro"/>
          <w:i/>
          <w:color w:val="414042"/>
          <w:spacing w:val="3"/>
          <w:sz w:val="25"/>
        </w:rPr>
        <w:t> </w:t>
      </w:r>
      <w:r>
        <w:rPr>
          <w:rFonts w:ascii="Myriad Pro"/>
          <w:i/>
          <w:color w:val="414042"/>
          <w:sz w:val="25"/>
        </w:rPr>
        <w:t>from</w:t>
      </w:r>
      <w:r>
        <w:rPr>
          <w:rFonts w:ascii="Myriad Pro"/>
          <w:i/>
          <w:color w:val="414042"/>
          <w:spacing w:val="-8"/>
          <w:sz w:val="25"/>
        </w:rPr>
        <w:t> </w:t>
      </w:r>
      <w:r>
        <w:rPr>
          <w:rFonts w:ascii="Myriad Pro"/>
          <w:i/>
          <w:color w:val="414042"/>
          <w:sz w:val="25"/>
        </w:rPr>
        <w:t>24-26</w:t>
      </w:r>
      <w:r>
        <w:rPr>
          <w:rFonts w:ascii="Myriad Pro"/>
          <w:i/>
          <w:color w:val="414042"/>
          <w:spacing w:val="-8"/>
          <w:sz w:val="25"/>
        </w:rPr>
        <w:t> </w:t>
      </w:r>
      <w:r>
        <w:rPr>
          <w:rFonts w:ascii="Myriad Pro"/>
          <w:i/>
          <w:color w:val="414042"/>
          <w:sz w:val="25"/>
        </w:rPr>
        <w:t>June</w:t>
      </w:r>
      <w:r>
        <w:rPr>
          <w:rFonts w:ascii="Myriad Pro"/>
          <w:i/>
          <w:color w:val="414042"/>
          <w:spacing w:val="-8"/>
          <w:sz w:val="25"/>
        </w:rPr>
        <w:t> </w:t>
      </w:r>
      <w:r>
        <w:rPr>
          <w:rFonts w:ascii="Myriad Pro"/>
          <w:i/>
          <w:color w:val="414042"/>
          <w:sz w:val="25"/>
        </w:rPr>
        <w:t>2019</w:t>
      </w:r>
      <w:r>
        <w:rPr>
          <w:rFonts w:ascii="Myriad Pro"/>
          <w:i/>
          <w:color w:val="414042"/>
          <w:spacing w:val="-8"/>
          <w:sz w:val="25"/>
        </w:rPr>
        <w:t> </w:t>
      </w:r>
      <w:r>
        <w:rPr>
          <w:rFonts w:ascii="Myriad Pro"/>
          <w:i/>
          <w:color w:val="414042"/>
          <w:sz w:val="25"/>
        </w:rPr>
        <w:t>in</w:t>
      </w:r>
      <w:r>
        <w:rPr>
          <w:rFonts w:ascii="Myriad Pro"/>
          <w:i/>
          <w:color w:val="414042"/>
          <w:spacing w:val="-8"/>
          <w:sz w:val="25"/>
        </w:rPr>
        <w:t> </w:t>
      </w:r>
      <w:r>
        <w:rPr>
          <w:rFonts w:ascii="Myriad Pro"/>
          <w:i/>
          <w:color w:val="414042"/>
          <w:sz w:val="25"/>
        </w:rPr>
        <w:t>Stellenbosch,</w:t>
      </w:r>
      <w:r>
        <w:rPr>
          <w:rFonts w:ascii="Myriad Pro"/>
          <w:i/>
          <w:color w:val="414042"/>
          <w:spacing w:val="-8"/>
          <w:sz w:val="25"/>
        </w:rPr>
        <w:t> </w:t>
      </w:r>
      <w:r>
        <w:rPr>
          <w:rFonts w:ascii="Myriad Pro"/>
          <w:i/>
          <w:color w:val="414042"/>
          <w:sz w:val="25"/>
        </w:rPr>
        <w:t>South</w:t>
      </w:r>
      <w:r>
        <w:rPr>
          <w:rFonts w:ascii="Myriad Pro"/>
          <w:i/>
          <w:color w:val="414042"/>
          <w:spacing w:val="-8"/>
          <w:sz w:val="25"/>
        </w:rPr>
        <w:t> </w:t>
      </w:r>
      <w:r>
        <w:rPr>
          <w:rFonts w:ascii="Myriad Pro"/>
          <w:i/>
          <w:color w:val="414042"/>
          <w:sz w:val="25"/>
        </w:rPr>
        <w:t>Africa.</w:t>
      </w:r>
    </w:p>
    <w:p>
      <w:pPr>
        <w:pStyle w:val="BodyText"/>
        <w:spacing w:before="10"/>
        <w:rPr>
          <w:rFonts w:ascii="Myriad Pro"/>
          <w:i/>
          <w:sz w:val="23"/>
        </w:rPr>
      </w:pPr>
    </w:p>
    <w:p>
      <w:pPr>
        <w:pStyle w:val="Heading2"/>
        <w:ind w:left="1039"/>
        <w:jc w:val="left"/>
        <w:rPr>
          <w:rFonts w:ascii="Myriad Pro Light"/>
          <w:b/>
        </w:rPr>
      </w:pPr>
      <w:r>
        <w:rPr>
          <w:rFonts w:ascii="Myriad Pro Light"/>
          <w:b/>
          <w:color w:val="12A14A"/>
        </w:rPr>
        <w:t>The current Background Papers:</w:t>
      </w:r>
    </w:p>
    <w:p>
      <w:pPr>
        <w:pStyle w:val="BodyText"/>
        <w:spacing w:before="12"/>
        <w:rPr>
          <w:rFonts w:ascii="Myriad Pro Light"/>
          <w:b/>
        </w:rPr>
      </w:pPr>
    </w:p>
    <w:p>
      <w:pPr>
        <w:spacing w:line="294" w:lineRule="exact" w:before="0"/>
        <w:ind w:left="1039" w:right="0" w:firstLine="0"/>
        <w:jc w:val="left"/>
        <w:rPr>
          <w:rFonts w:ascii="Myriad Pro Light"/>
          <w:b/>
          <w:sz w:val="25"/>
        </w:rPr>
      </w:pPr>
      <w:r>
        <w:rPr>
          <w:rFonts w:ascii="Myriad Pro Light"/>
          <w:b/>
          <w:color w:val="12A14A"/>
          <w:sz w:val="25"/>
        </w:rPr>
        <w:t>#1 BP Roadmaps &amp; Ecosystem</w:t>
      </w:r>
    </w:p>
    <w:p>
      <w:pPr>
        <w:spacing w:line="230" w:lineRule="auto" w:before="0"/>
        <w:ind w:left="1771" w:right="1367" w:firstLine="0"/>
        <w:jc w:val="left"/>
        <w:rPr>
          <w:sz w:val="25"/>
        </w:rPr>
      </w:pPr>
      <w:r>
        <w:rPr>
          <w:color w:val="414042"/>
          <w:sz w:val="25"/>
        </w:rPr>
        <w:t>Multi-Annual Roadmaps on Research &amp;Innovation and Human &amp; Institutional Capacity Building - Agendas &amp; Pathways </w:t>
      </w:r>
      <w:r>
        <w:rPr>
          <w:color w:val="414042"/>
          <w:w w:val="90"/>
          <w:sz w:val="25"/>
        </w:rPr>
        <w:t>| </w:t>
      </w:r>
      <w:r>
        <w:rPr>
          <w:color w:val="414042"/>
          <w:sz w:val="25"/>
        </w:rPr>
        <w:t>Outcomes from the PRE-LEAP-RE Ecosystem Analysis</w:t>
      </w:r>
    </w:p>
    <w:p>
      <w:pPr>
        <w:pStyle w:val="BodyText"/>
        <w:spacing w:before="8"/>
      </w:pPr>
    </w:p>
    <w:p>
      <w:pPr>
        <w:spacing w:line="302" w:lineRule="exact" w:before="0"/>
        <w:ind w:left="1039" w:right="0" w:firstLine="0"/>
        <w:jc w:val="left"/>
        <w:rPr>
          <w:rFonts w:ascii="Myriad Pro Light"/>
          <w:b/>
          <w:sz w:val="25"/>
        </w:rPr>
      </w:pPr>
      <w:r>
        <w:rPr>
          <w:rFonts w:ascii="Myriad Pro Light"/>
          <w:b/>
          <w:color w:val="12A14A"/>
          <w:sz w:val="25"/>
        </w:rPr>
        <w:t>#2 BP Funding &amp; Private Sector</w:t>
      </w:r>
    </w:p>
    <w:p>
      <w:pPr>
        <w:spacing w:line="230" w:lineRule="auto" w:before="6"/>
        <w:ind w:left="1771" w:right="1254" w:firstLine="0"/>
        <w:jc w:val="left"/>
        <w:rPr>
          <w:sz w:val="25"/>
        </w:rPr>
      </w:pPr>
      <w:r>
        <w:rPr>
          <w:color w:val="414042"/>
          <w:sz w:val="25"/>
        </w:rPr>
        <w:t>Funding</w:t>
      </w:r>
      <w:r>
        <w:rPr>
          <w:color w:val="414042"/>
          <w:spacing w:val="-11"/>
          <w:sz w:val="25"/>
        </w:rPr>
        <w:t> </w:t>
      </w:r>
      <w:r>
        <w:rPr>
          <w:color w:val="414042"/>
          <w:sz w:val="25"/>
        </w:rPr>
        <w:t>Concept</w:t>
      </w:r>
      <w:r>
        <w:rPr>
          <w:color w:val="414042"/>
          <w:spacing w:val="-11"/>
          <w:sz w:val="25"/>
        </w:rPr>
        <w:t> </w:t>
      </w:r>
      <w:r>
        <w:rPr>
          <w:color w:val="414042"/>
          <w:w w:val="90"/>
          <w:sz w:val="25"/>
        </w:rPr>
        <w:t>|</w:t>
      </w:r>
      <w:r>
        <w:rPr>
          <w:color w:val="414042"/>
          <w:spacing w:val="-5"/>
          <w:w w:val="90"/>
          <w:sz w:val="25"/>
        </w:rPr>
        <w:t> </w:t>
      </w:r>
      <w:r>
        <w:rPr>
          <w:color w:val="414042"/>
          <w:sz w:val="25"/>
        </w:rPr>
        <w:t>Private</w:t>
      </w:r>
      <w:r>
        <w:rPr>
          <w:color w:val="414042"/>
          <w:spacing w:val="-11"/>
          <w:sz w:val="25"/>
        </w:rPr>
        <w:t> </w:t>
      </w:r>
      <w:r>
        <w:rPr>
          <w:color w:val="414042"/>
          <w:sz w:val="25"/>
        </w:rPr>
        <w:t>Sector</w:t>
      </w:r>
      <w:r>
        <w:rPr>
          <w:color w:val="414042"/>
          <w:spacing w:val="-11"/>
          <w:sz w:val="25"/>
        </w:rPr>
        <w:t> </w:t>
      </w:r>
      <w:r>
        <w:rPr>
          <w:color w:val="414042"/>
          <w:sz w:val="25"/>
        </w:rPr>
        <w:t>Involvement</w:t>
      </w:r>
      <w:r>
        <w:rPr>
          <w:color w:val="414042"/>
          <w:spacing w:val="-11"/>
          <w:sz w:val="25"/>
        </w:rPr>
        <w:t> </w:t>
      </w:r>
      <w:r>
        <w:rPr>
          <w:color w:val="414042"/>
          <w:w w:val="90"/>
          <w:sz w:val="25"/>
        </w:rPr>
        <w:t>|</w:t>
      </w:r>
      <w:r>
        <w:rPr>
          <w:color w:val="414042"/>
          <w:spacing w:val="-5"/>
          <w:w w:val="90"/>
          <w:sz w:val="25"/>
        </w:rPr>
        <w:t> </w:t>
      </w:r>
      <w:r>
        <w:rPr>
          <w:color w:val="414042"/>
          <w:sz w:val="25"/>
        </w:rPr>
        <w:t>Open</w:t>
      </w:r>
      <w:r>
        <w:rPr>
          <w:color w:val="414042"/>
          <w:spacing w:val="-11"/>
          <w:sz w:val="25"/>
        </w:rPr>
        <w:t> </w:t>
      </w:r>
      <w:r>
        <w:rPr>
          <w:color w:val="414042"/>
          <w:sz w:val="25"/>
        </w:rPr>
        <w:t>Philosophy</w:t>
      </w:r>
      <w:r>
        <w:rPr>
          <w:color w:val="414042"/>
          <w:spacing w:val="-11"/>
          <w:sz w:val="25"/>
        </w:rPr>
        <w:t> </w:t>
      </w:r>
      <w:r>
        <w:rPr>
          <w:color w:val="414042"/>
          <w:sz w:val="25"/>
        </w:rPr>
        <w:t>&amp;</w:t>
      </w:r>
      <w:r>
        <w:rPr>
          <w:color w:val="414042"/>
          <w:spacing w:val="-10"/>
          <w:sz w:val="25"/>
        </w:rPr>
        <w:t> </w:t>
      </w:r>
      <w:r>
        <w:rPr>
          <w:color w:val="414042"/>
          <w:sz w:val="25"/>
        </w:rPr>
        <w:t>Intellectual</w:t>
      </w:r>
      <w:r>
        <w:rPr>
          <w:color w:val="414042"/>
          <w:spacing w:val="-11"/>
          <w:sz w:val="25"/>
        </w:rPr>
        <w:t> </w:t>
      </w:r>
      <w:r>
        <w:rPr>
          <w:color w:val="414042"/>
          <w:sz w:val="25"/>
        </w:rPr>
        <w:t>Property Rights</w:t>
      </w:r>
    </w:p>
    <w:p>
      <w:pPr>
        <w:pStyle w:val="BodyText"/>
        <w:spacing w:before="9"/>
      </w:pPr>
    </w:p>
    <w:p>
      <w:pPr>
        <w:spacing w:line="302" w:lineRule="exact" w:before="0"/>
        <w:ind w:left="1039" w:right="0" w:firstLine="0"/>
        <w:jc w:val="left"/>
        <w:rPr>
          <w:rFonts w:ascii="Myriad Pro Light"/>
          <w:b/>
          <w:sz w:val="25"/>
        </w:rPr>
      </w:pPr>
      <w:r>
        <w:rPr>
          <w:rFonts w:ascii="Myriad Pro Light"/>
          <w:b/>
          <w:color w:val="12A14A"/>
          <w:sz w:val="25"/>
        </w:rPr>
        <w:t>#3 BP Long-Term Perspective</w:t>
      </w:r>
    </w:p>
    <w:p>
      <w:pPr>
        <w:spacing w:line="295" w:lineRule="exact" w:before="0"/>
        <w:ind w:left="1771" w:right="0" w:firstLine="0"/>
        <w:jc w:val="left"/>
        <w:rPr>
          <w:sz w:val="25"/>
        </w:rPr>
      </w:pPr>
      <w:r>
        <w:rPr>
          <w:color w:val="414042"/>
          <w:sz w:val="25"/>
        </w:rPr>
        <w:t>Theory of Change and Impact Pathways </w:t>
      </w:r>
      <w:r>
        <w:rPr>
          <w:color w:val="414042"/>
          <w:w w:val="90"/>
          <w:sz w:val="25"/>
        </w:rPr>
        <w:t>| </w:t>
      </w:r>
      <w:r>
        <w:rPr>
          <w:color w:val="414042"/>
          <w:sz w:val="25"/>
        </w:rPr>
        <w:t>Programme and Innovation Management Cycle</w:t>
      </w:r>
    </w:p>
    <w:p>
      <w:pPr>
        <w:spacing w:line="230" w:lineRule="auto" w:before="3"/>
        <w:ind w:left="1771" w:right="1484" w:firstLine="0"/>
        <w:jc w:val="left"/>
        <w:rPr>
          <w:sz w:val="25"/>
        </w:rPr>
      </w:pPr>
      <w:r>
        <w:rPr>
          <w:color w:val="414042"/>
          <w:w w:val="90"/>
          <w:sz w:val="25"/>
        </w:rPr>
        <w:t>|</w:t>
      </w:r>
      <w:r>
        <w:rPr>
          <w:color w:val="414042"/>
          <w:spacing w:val="-7"/>
          <w:w w:val="90"/>
          <w:sz w:val="25"/>
        </w:rPr>
        <w:t> </w:t>
      </w:r>
      <w:r>
        <w:rPr>
          <w:color w:val="414042"/>
          <w:sz w:val="25"/>
        </w:rPr>
        <w:t>Knowledge</w:t>
      </w:r>
      <w:r>
        <w:rPr>
          <w:color w:val="414042"/>
          <w:spacing w:val="-12"/>
          <w:sz w:val="25"/>
        </w:rPr>
        <w:t> </w:t>
      </w:r>
      <w:r>
        <w:rPr>
          <w:color w:val="414042"/>
          <w:sz w:val="25"/>
        </w:rPr>
        <w:t>Management</w:t>
      </w:r>
      <w:r>
        <w:rPr>
          <w:color w:val="414042"/>
          <w:spacing w:val="-12"/>
          <w:sz w:val="25"/>
        </w:rPr>
        <w:t> </w:t>
      </w:r>
      <w:r>
        <w:rPr>
          <w:color w:val="414042"/>
          <w:sz w:val="25"/>
        </w:rPr>
        <w:t>and</w:t>
      </w:r>
      <w:r>
        <w:rPr>
          <w:color w:val="414042"/>
          <w:spacing w:val="-12"/>
          <w:sz w:val="25"/>
        </w:rPr>
        <w:t> </w:t>
      </w:r>
      <w:r>
        <w:rPr>
          <w:color w:val="414042"/>
          <w:sz w:val="25"/>
        </w:rPr>
        <w:t>Communication</w:t>
      </w:r>
      <w:r>
        <w:rPr>
          <w:color w:val="414042"/>
          <w:spacing w:val="-12"/>
          <w:sz w:val="25"/>
        </w:rPr>
        <w:t> </w:t>
      </w:r>
      <w:r>
        <w:rPr>
          <w:color w:val="414042"/>
          <w:sz w:val="25"/>
        </w:rPr>
        <w:t>Framework</w:t>
      </w:r>
      <w:r>
        <w:rPr>
          <w:color w:val="414042"/>
          <w:spacing w:val="-12"/>
          <w:sz w:val="25"/>
        </w:rPr>
        <w:t> </w:t>
      </w:r>
      <w:r>
        <w:rPr>
          <w:color w:val="414042"/>
          <w:w w:val="90"/>
          <w:sz w:val="25"/>
        </w:rPr>
        <w:t>|</w:t>
      </w:r>
      <w:r>
        <w:rPr>
          <w:color w:val="414042"/>
          <w:spacing w:val="-7"/>
          <w:w w:val="90"/>
          <w:sz w:val="25"/>
        </w:rPr>
        <w:t> </w:t>
      </w:r>
      <w:r>
        <w:rPr>
          <w:color w:val="414042"/>
          <w:sz w:val="25"/>
        </w:rPr>
        <w:t>Monitoring</w:t>
      </w:r>
      <w:r>
        <w:rPr>
          <w:color w:val="414042"/>
          <w:spacing w:val="-12"/>
          <w:sz w:val="25"/>
        </w:rPr>
        <w:t> </w:t>
      </w:r>
      <w:r>
        <w:rPr>
          <w:color w:val="414042"/>
          <w:sz w:val="25"/>
        </w:rPr>
        <w:t>&amp;</w:t>
      </w:r>
      <w:r>
        <w:rPr>
          <w:color w:val="414042"/>
          <w:spacing w:val="-12"/>
          <w:sz w:val="25"/>
        </w:rPr>
        <w:t> </w:t>
      </w:r>
      <w:r>
        <w:rPr>
          <w:color w:val="414042"/>
          <w:sz w:val="25"/>
        </w:rPr>
        <w:t>Evaluation Concept</w:t>
      </w:r>
    </w:p>
    <w:p>
      <w:pPr>
        <w:pStyle w:val="BodyText"/>
        <w:spacing w:before="10"/>
      </w:pPr>
    </w:p>
    <w:p>
      <w:pPr>
        <w:spacing w:line="302" w:lineRule="exact" w:before="0"/>
        <w:ind w:left="1039" w:right="0" w:firstLine="0"/>
        <w:jc w:val="left"/>
        <w:rPr>
          <w:rFonts w:ascii="Myriad Pro Light"/>
          <w:b/>
          <w:sz w:val="25"/>
        </w:rPr>
      </w:pPr>
      <w:r>
        <w:rPr>
          <w:rFonts w:ascii="Myriad Pro Light"/>
          <w:b/>
          <w:color w:val="12A14A"/>
          <w:sz w:val="25"/>
        </w:rPr>
        <w:t>#4 BP Individual Funding &amp; Contribution Regulations</w:t>
      </w:r>
    </w:p>
    <w:p>
      <w:pPr>
        <w:spacing w:line="230" w:lineRule="auto" w:before="6"/>
        <w:ind w:left="1771" w:right="1367" w:firstLine="0"/>
        <w:jc w:val="left"/>
        <w:rPr>
          <w:sz w:val="25"/>
        </w:rPr>
      </w:pPr>
      <w:r>
        <w:rPr>
          <w:color w:val="414042"/>
          <w:sz w:val="25"/>
        </w:rPr>
        <w:t>Individual (National) funding regulations will be collected and have to be applied supplementing the general agreed funding regulations of the consortium.</w:t>
      </w:r>
    </w:p>
    <w:p>
      <w:pPr>
        <w:pStyle w:val="BodyText"/>
        <w:rPr>
          <w:sz w:val="20"/>
        </w:rPr>
      </w:pPr>
    </w:p>
    <w:p>
      <w:pPr>
        <w:pStyle w:val="BodyText"/>
        <w:spacing w:before="7"/>
        <w:rPr>
          <w:sz w:val="13"/>
        </w:rPr>
      </w:pPr>
      <w:r>
        <w:rPr/>
        <w:pict>
          <v:group style="position:absolute;margin-left:190.999802pt;margin-top:10.300889pt;width:213pt;height:.75pt;mso-position-horizontal-relative:page;mso-position-vertical-relative:paragraph;z-index:-928;mso-wrap-distance-left:0;mso-wrap-distance-right:0" coordorigin="3820,206" coordsize="4260,15">
            <v:line style="position:absolute" from="3820,214" to="8080,214" stroked="true" strokeweight="0pt" strokecolor="#959798">
              <v:stroke dashstyle="solid"/>
            </v:line>
            <v:line style="position:absolute" from="3820,214" to="8080,214" stroked="true" strokeweight=".75pt" strokecolor="#231f20">
              <v:stroke dashstyle="solid"/>
            </v:line>
            <w10:wrap type="topAndBottom"/>
          </v:group>
        </w:pict>
      </w:r>
    </w:p>
    <w:p>
      <w:pPr>
        <w:pStyle w:val="BodyText"/>
        <w:spacing w:before="5"/>
        <w:rPr>
          <w:sz w:val="18"/>
        </w:rPr>
      </w:pPr>
    </w:p>
    <w:p>
      <w:pPr>
        <w:spacing w:line="301" w:lineRule="exact" w:before="107"/>
        <w:ind w:left="1072" w:right="0" w:firstLine="0"/>
        <w:jc w:val="both"/>
        <w:rPr>
          <w:rFonts w:ascii="Myriad Pro Light"/>
          <w:b/>
          <w:sz w:val="25"/>
        </w:rPr>
      </w:pPr>
      <w:r>
        <w:rPr>
          <w:rFonts w:ascii="Myriad Pro Light"/>
          <w:b/>
          <w:color w:val="12A14A"/>
          <w:sz w:val="25"/>
        </w:rPr>
        <w:t>Co-coordinators for this Background Paper</w:t>
      </w:r>
    </w:p>
    <w:p>
      <w:pPr>
        <w:spacing w:line="295" w:lineRule="exact" w:before="0"/>
        <w:ind w:left="1072" w:right="0" w:firstLine="0"/>
        <w:jc w:val="both"/>
        <w:rPr>
          <w:sz w:val="25"/>
        </w:rPr>
      </w:pPr>
      <w:r>
        <w:rPr>
          <w:color w:val="414042"/>
          <w:sz w:val="25"/>
        </w:rPr>
        <w:t>Mr Fadel Traoré </w:t>
      </w:r>
      <w:r>
        <w:rPr>
          <w:color w:val="414042"/>
          <w:w w:val="90"/>
          <w:sz w:val="25"/>
        </w:rPr>
        <w:t>| </w:t>
      </w:r>
      <w:hyperlink r:id="rId13">
        <w:r>
          <w:rPr>
            <w:color w:val="414042"/>
            <w:sz w:val="25"/>
          </w:rPr>
          <w:t>Fadel.Traor</w:t>
        </w:r>
      </w:hyperlink>
      <w:hyperlink r:id="rId14">
        <w:r>
          <w:rPr>
            <w:color w:val="414042"/>
            <w:sz w:val="25"/>
          </w:rPr>
          <w:t>e@ANER.sn</w:t>
        </w:r>
      </w:hyperlink>
    </w:p>
    <w:p>
      <w:pPr>
        <w:spacing w:line="299" w:lineRule="exact" w:before="0"/>
        <w:ind w:left="1072" w:right="0" w:firstLine="0"/>
        <w:jc w:val="both"/>
        <w:rPr>
          <w:sz w:val="25"/>
        </w:rPr>
      </w:pPr>
      <w:r>
        <w:rPr>
          <w:color w:val="414042"/>
          <w:sz w:val="25"/>
        </w:rPr>
        <w:t>Mr Stefan A. Haffner </w:t>
      </w:r>
      <w:r>
        <w:rPr>
          <w:color w:val="414042"/>
          <w:w w:val="90"/>
          <w:sz w:val="25"/>
        </w:rPr>
        <w:t>| </w:t>
      </w:r>
      <w:hyperlink r:id="rId15">
        <w:r>
          <w:rPr>
            <w:color w:val="414042"/>
            <w:sz w:val="25"/>
          </w:rPr>
          <w:t>Stefan.Haffner@DLR.de</w:t>
        </w:r>
      </w:hyperlink>
    </w:p>
    <w:p>
      <w:pPr>
        <w:pStyle w:val="BodyText"/>
        <w:spacing w:before="6"/>
      </w:pPr>
    </w:p>
    <w:p>
      <w:pPr>
        <w:spacing w:line="299" w:lineRule="exact" w:before="1"/>
        <w:ind w:left="1072" w:right="0" w:firstLine="0"/>
        <w:jc w:val="both"/>
        <w:rPr>
          <w:rFonts w:ascii="Myriad Pro Light"/>
          <w:b/>
          <w:sz w:val="25"/>
        </w:rPr>
      </w:pPr>
      <w:r>
        <w:rPr>
          <w:rFonts w:ascii="Myriad Pro Light"/>
          <w:b/>
          <w:color w:val="12A14A"/>
          <w:sz w:val="25"/>
        </w:rPr>
        <w:t>Team of co-authors</w:t>
      </w:r>
    </w:p>
    <w:p>
      <w:pPr>
        <w:spacing w:line="295" w:lineRule="exact" w:before="0"/>
        <w:ind w:left="1072" w:right="0" w:firstLine="0"/>
        <w:jc w:val="both"/>
        <w:rPr>
          <w:sz w:val="25"/>
        </w:rPr>
      </w:pPr>
      <w:r>
        <w:rPr>
          <w:rFonts w:ascii="Myriad Pro Light"/>
          <w:b/>
          <w:color w:val="12A14A"/>
          <w:sz w:val="25"/>
        </w:rPr>
        <w:t>AESG, </w:t>
      </w:r>
      <w:r>
        <w:rPr>
          <w:color w:val="414042"/>
          <w:sz w:val="25"/>
        </w:rPr>
        <w:t>Rwanda (Africa Energy Services Group Ltd.)</w:t>
      </w:r>
    </w:p>
    <w:p>
      <w:pPr>
        <w:spacing w:line="293" w:lineRule="exact" w:before="0"/>
        <w:ind w:left="1072" w:right="0" w:firstLine="0"/>
        <w:jc w:val="both"/>
        <w:rPr>
          <w:sz w:val="25"/>
        </w:rPr>
      </w:pPr>
      <w:r>
        <w:rPr>
          <w:rFonts w:ascii="Myriad Pro Light" w:hAnsi="Myriad Pro Light"/>
          <w:b/>
          <w:color w:val="12A14A"/>
          <w:sz w:val="25"/>
        </w:rPr>
        <w:t>ANER, </w:t>
      </w:r>
      <w:r>
        <w:rPr>
          <w:color w:val="414042"/>
          <w:sz w:val="25"/>
        </w:rPr>
        <w:t>Sénégal (Agence Nationale pour les Energies Renouvable)</w:t>
      </w:r>
    </w:p>
    <w:p>
      <w:pPr>
        <w:spacing w:line="225" w:lineRule="auto" w:before="5"/>
        <w:ind w:left="1072" w:right="3001" w:firstLine="0"/>
        <w:jc w:val="both"/>
        <w:rPr>
          <w:sz w:val="25"/>
        </w:rPr>
      </w:pPr>
      <w:r>
        <w:rPr>
          <w:rFonts w:ascii="Myriad Pro Light" w:hAnsi="Myriad Pro Light"/>
          <w:b/>
          <w:color w:val="12A14A"/>
          <w:sz w:val="25"/>
        </w:rPr>
        <w:t>CEA, </w:t>
      </w:r>
      <w:r>
        <w:rPr>
          <w:color w:val="414042"/>
          <w:sz w:val="25"/>
        </w:rPr>
        <w:t>France (Commissariat à l'énergie atomique et aux énergies alternatives) </w:t>
      </w:r>
      <w:r>
        <w:rPr>
          <w:rFonts w:ascii="Myriad Pro Light" w:hAnsi="Myriad Pro Light"/>
          <w:b/>
          <w:color w:val="12A14A"/>
          <w:spacing w:val="-3"/>
          <w:sz w:val="25"/>
        </w:rPr>
        <w:t>DLR-PT, </w:t>
      </w:r>
      <w:r>
        <w:rPr>
          <w:color w:val="414042"/>
          <w:sz w:val="25"/>
        </w:rPr>
        <w:t>Germany (German Aerospace Center – Project Management</w:t>
      </w:r>
      <w:r>
        <w:rPr>
          <w:color w:val="414042"/>
          <w:spacing w:val="-40"/>
          <w:sz w:val="25"/>
        </w:rPr>
        <w:t> </w:t>
      </w:r>
      <w:r>
        <w:rPr>
          <w:color w:val="414042"/>
          <w:spacing w:val="-3"/>
          <w:sz w:val="25"/>
        </w:rPr>
        <w:t>Agency) </w:t>
      </w:r>
      <w:r>
        <w:rPr>
          <w:rFonts w:ascii="Myriad Pro Light" w:hAnsi="Myriad Pro Light"/>
          <w:b/>
          <w:color w:val="12A14A"/>
          <w:spacing w:val="-5"/>
          <w:sz w:val="25"/>
        </w:rPr>
        <w:t>DST, </w:t>
      </w:r>
      <w:r>
        <w:rPr>
          <w:color w:val="414042"/>
          <w:sz w:val="25"/>
        </w:rPr>
        <w:t>South Africa (Department of Science and</w:t>
      </w:r>
      <w:r>
        <w:rPr>
          <w:color w:val="414042"/>
          <w:spacing w:val="-34"/>
          <w:sz w:val="25"/>
        </w:rPr>
        <w:t> </w:t>
      </w:r>
      <w:r>
        <w:rPr>
          <w:color w:val="414042"/>
          <w:sz w:val="25"/>
        </w:rPr>
        <w:t>Technology)</w:t>
      </w:r>
    </w:p>
    <w:p>
      <w:pPr>
        <w:spacing w:line="290" w:lineRule="exact" w:before="0"/>
        <w:ind w:left="1072" w:right="0" w:firstLine="0"/>
        <w:jc w:val="both"/>
        <w:rPr>
          <w:sz w:val="25"/>
        </w:rPr>
      </w:pPr>
      <w:r>
        <w:rPr>
          <w:rFonts w:ascii="Myriad Pro Light"/>
          <w:b/>
          <w:color w:val="12A14A"/>
          <w:sz w:val="25"/>
        </w:rPr>
        <w:t>IE, </w:t>
      </w:r>
      <w:r>
        <w:rPr>
          <w:color w:val="414042"/>
          <w:sz w:val="25"/>
        </w:rPr>
        <w:t>Belgium (KIC Innoenergy SE)</w:t>
      </w:r>
    </w:p>
    <w:p>
      <w:pPr>
        <w:spacing w:line="293" w:lineRule="exact" w:before="0"/>
        <w:ind w:left="1072" w:right="0" w:firstLine="0"/>
        <w:jc w:val="both"/>
        <w:rPr>
          <w:sz w:val="25"/>
        </w:rPr>
      </w:pPr>
      <w:r>
        <w:rPr>
          <w:rFonts w:ascii="Myriad Pro Light" w:hAnsi="Myriad Pro Light"/>
          <w:b/>
          <w:color w:val="12A14A"/>
          <w:sz w:val="25"/>
        </w:rPr>
        <w:t>JYU/UNIPID, </w:t>
      </w:r>
      <w:r>
        <w:rPr>
          <w:color w:val="414042"/>
          <w:sz w:val="25"/>
        </w:rPr>
        <w:t>Finland (University of Jyväskylä / UniPID)</w:t>
      </w:r>
    </w:p>
    <w:p>
      <w:pPr>
        <w:spacing w:line="293" w:lineRule="exact" w:before="0"/>
        <w:ind w:left="1072" w:right="0" w:firstLine="0"/>
        <w:jc w:val="both"/>
        <w:rPr>
          <w:sz w:val="25"/>
        </w:rPr>
      </w:pPr>
      <w:r>
        <w:rPr>
          <w:rFonts w:ascii="Myriad Pro Light"/>
          <w:b/>
          <w:color w:val="12A14A"/>
          <w:sz w:val="25"/>
        </w:rPr>
        <w:t>LGI, </w:t>
      </w:r>
      <w:r>
        <w:rPr>
          <w:color w:val="414042"/>
          <w:sz w:val="25"/>
        </w:rPr>
        <w:t>France (LGI Consulting)</w:t>
      </w:r>
    </w:p>
    <w:p>
      <w:pPr>
        <w:spacing w:line="293" w:lineRule="exact" w:before="0"/>
        <w:ind w:left="1072" w:right="0" w:firstLine="0"/>
        <w:jc w:val="both"/>
        <w:rPr>
          <w:sz w:val="25"/>
        </w:rPr>
      </w:pPr>
      <w:r>
        <w:rPr>
          <w:rFonts w:ascii="Myriad Pro Light"/>
          <w:b/>
          <w:color w:val="12A14A"/>
          <w:sz w:val="25"/>
        </w:rPr>
        <w:t>MESRS, </w:t>
      </w:r>
      <w:r>
        <w:rPr>
          <w:color w:val="414042"/>
          <w:sz w:val="25"/>
        </w:rPr>
        <w:t>Algeria (Ministry of Higher Education and Scientific Research)</w:t>
      </w:r>
    </w:p>
    <w:p>
      <w:pPr>
        <w:spacing w:line="302" w:lineRule="exact" w:before="0"/>
        <w:ind w:left="1072" w:right="0" w:firstLine="0"/>
        <w:jc w:val="both"/>
        <w:rPr>
          <w:sz w:val="25"/>
        </w:rPr>
      </w:pPr>
      <w:r>
        <w:rPr>
          <w:rFonts w:ascii="Myriad Pro Light"/>
          <w:b/>
          <w:color w:val="12A14A"/>
          <w:sz w:val="25"/>
        </w:rPr>
        <w:t>SU, </w:t>
      </w:r>
      <w:r>
        <w:rPr>
          <w:color w:val="414042"/>
          <w:sz w:val="25"/>
        </w:rPr>
        <w:t>Kenya (Strathmore University)</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42"/>
        </w:rPr>
      </w:pPr>
    </w:p>
    <w:p>
      <w:pPr>
        <w:spacing w:before="0"/>
        <w:ind w:left="1926" w:right="1040" w:firstLine="0"/>
        <w:jc w:val="both"/>
        <w:rPr>
          <w:sz w:val="16"/>
        </w:rPr>
      </w:pPr>
      <w:r>
        <w:rPr/>
        <w:drawing>
          <wp:anchor distT="0" distB="0" distL="0" distR="0" allowOverlap="1" layoutInCell="1" locked="0" behindDoc="0" simplePos="0" relativeHeight="1144">
            <wp:simplePos x="0" y="0"/>
            <wp:positionH relativeFrom="page">
              <wp:posOffset>626110</wp:posOffset>
            </wp:positionH>
            <wp:positionV relativeFrom="paragraph">
              <wp:posOffset>30990</wp:posOffset>
            </wp:positionV>
            <wp:extent cx="429412" cy="291464"/>
            <wp:effectExtent l="0" t="0" r="0" b="0"/>
            <wp:wrapNone/>
            <wp:docPr id="5" name="image7.jpeg" descr=""/>
            <wp:cNvGraphicFramePr>
              <a:graphicFrameLocks noChangeAspect="1"/>
            </wp:cNvGraphicFramePr>
            <a:graphic>
              <a:graphicData uri="http://schemas.openxmlformats.org/drawingml/2006/picture">
                <pic:pic>
                  <pic:nvPicPr>
                    <pic:cNvPr id="6" name="image7.jpeg"/>
                    <pic:cNvPicPr/>
                  </pic:nvPicPr>
                  <pic:blipFill>
                    <a:blip r:embed="rId16" cstate="print"/>
                    <a:stretch>
                      <a:fillRect/>
                    </a:stretch>
                  </pic:blipFill>
                  <pic:spPr>
                    <a:xfrm>
                      <a:off x="0" y="0"/>
                      <a:ext cx="429412" cy="291464"/>
                    </a:xfrm>
                    <a:prstGeom prst="rect">
                      <a:avLst/>
                    </a:prstGeom>
                  </pic:spPr>
                </pic:pic>
              </a:graphicData>
            </a:graphic>
          </wp:anchor>
        </w:drawing>
      </w:r>
      <w:r>
        <w:rPr>
          <w:sz w:val="16"/>
        </w:rPr>
        <w:t>This project has received funding from the European Commission’s Horizon 2020 Research and Innovation Programme. The content in this presentation reflects only the author(s)’s views. The European Commission is not responsible for any use that may be made of the information it contains.</w:t>
      </w:r>
    </w:p>
    <w:p>
      <w:pPr>
        <w:spacing w:after="0"/>
        <w:jc w:val="both"/>
        <w:rPr>
          <w:sz w:val="16"/>
        </w:rPr>
        <w:sectPr>
          <w:pgSz w:w="11910" w:h="16840"/>
          <w:pgMar w:top="300" w:bottom="280" w:left="0" w:right="0"/>
        </w:sectPr>
      </w:pPr>
    </w:p>
    <w:p>
      <w:pPr>
        <w:pStyle w:val="Heading1"/>
        <w:spacing w:before="32"/>
        <w:ind w:left="133" w:firstLine="0"/>
      </w:pPr>
      <w:r>
        <w:rPr>
          <w:color w:val="585858"/>
        </w:rPr>
        <w:t>Content</w:t>
      </w:r>
    </w:p>
    <w:p>
      <w:pPr>
        <w:pStyle w:val="BodyText"/>
        <w:spacing w:before="8"/>
        <w:rPr>
          <w:b/>
          <w:sz w:val="41"/>
        </w:rPr>
      </w:pPr>
    </w:p>
    <w:p>
      <w:pPr>
        <w:pStyle w:val="Heading3"/>
        <w:numPr>
          <w:ilvl w:val="0"/>
          <w:numId w:val="1"/>
        </w:numPr>
        <w:tabs>
          <w:tab w:pos="572" w:val="left" w:leader="none"/>
          <w:tab w:pos="573" w:val="left" w:leader="none"/>
          <w:tab w:pos="9927" w:val="left" w:leader="none"/>
        </w:tabs>
        <w:spacing w:line="240" w:lineRule="auto" w:before="0" w:after="0"/>
        <w:ind w:left="572" w:right="0" w:hanging="439"/>
        <w:jc w:val="left"/>
      </w:pPr>
      <w:hyperlink w:history="true" w:anchor="_bookmark0">
        <w:r>
          <w:rPr>
            <w:color w:val="585858"/>
          </w:rPr>
          <w:t>Introduction</w:t>
        </w:r>
        <w:r>
          <w:rPr>
            <w:color w:val="585858"/>
            <w:u w:val="thick" w:color="575757"/>
          </w:rPr>
          <w:t> </w:t>
          <w:tab/>
        </w:r>
        <w:r>
          <w:rPr>
            <w:color w:val="585858"/>
          </w:rPr>
          <w:t>3</w:t>
        </w:r>
      </w:hyperlink>
    </w:p>
    <w:p>
      <w:pPr>
        <w:pStyle w:val="ListParagraph"/>
        <w:numPr>
          <w:ilvl w:val="0"/>
          <w:numId w:val="1"/>
        </w:numPr>
        <w:tabs>
          <w:tab w:pos="572" w:val="left" w:leader="none"/>
          <w:tab w:pos="573" w:val="left" w:leader="none"/>
          <w:tab w:pos="9927" w:val="left" w:leader="none"/>
        </w:tabs>
        <w:spacing w:line="240" w:lineRule="auto" w:before="120" w:after="0"/>
        <w:ind w:left="572" w:right="0" w:hanging="439"/>
        <w:jc w:val="left"/>
        <w:rPr>
          <w:b/>
          <w:sz w:val="24"/>
        </w:rPr>
      </w:pPr>
      <w:hyperlink w:history="true" w:anchor="_bookmark1">
        <w:r>
          <w:rPr>
            <w:b/>
            <w:color w:val="585858"/>
            <w:sz w:val="24"/>
          </w:rPr>
          <w:t>Theories of Change and</w:t>
        </w:r>
        <w:r>
          <w:rPr>
            <w:b/>
            <w:color w:val="585858"/>
            <w:spacing w:val="-11"/>
            <w:sz w:val="24"/>
          </w:rPr>
          <w:t> </w:t>
        </w:r>
        <w:r>
          <w:rPr>
            <w:b/>
            <w:color w:val="585858"/>
            <w:sz w:val="24"/>
          </w:rPr>
          <w:t>Impact</w:t>
        </w:r>
        <w:r>
          <w:rPr>
            <w:b/>
            <w:color w:val="585858"/>
            <w:spacing w:val="-1"/>
            <w:sz w:val="24"/>
          </w:rPr>
          <w:t> </w:t>
        </w:r>
        <w:r>
          <w:rPr>
            <w:b/>
            <w:color w:val="585858"/>
            <w:sz w:val="24"/>
          </w:rPr>
          <w:t>Pathways</w:t>
        </w:r>
        <w:r>
          <w:rPr>
            <w:b/>
            <w:color w:val="585858"/>
            <w:sz w:val="24"/>
            <w:u w:val="thick" w:color="575757"/>
          </w:rPr>
          <w:t> </w:t>
          <w:tab/>
        </w:r>
        <w:r>
          <w:rPr>
            <w:b/>
            <w:color w:val="585858"/>
            <w:sz w:val="24"/>
          </w:rPr>
          <w:t>4</w:t>
        </w:r>
      </w:hyperlink>
    </w:p>
    <w:p>
      <w:pPr>
        <w:pStyle w:val="ListParagraph"/>
        <w:numPr>
          <w:ilvl w:val="0"/>
          <w:numId w:val="1"/>
        </w:numPr>
        <w:tabs>
          <w:tab w:pos="572" w:val="left" w:leader="none"/>
          <w:tab w:pos="573" w:val="left" w:leader="none"/>
          <w:tab w:pos="9927" w:val="left" w:leader="none"/>
        </w:tabs>
        <w:spacing w:line="240" w:lineRule="auto" w:before="119" w:after="0"/>
        <w:ind w:left="572" w:right="0" w:hanging="439"/>
        <w:jc w:val="left"/>
        <w:rPr>
          <w:b/>
          <w:sz w:val="24"/>
        </w:rPr>
      </w:pPr>
      <w:hyperlink w:history="true" w:anchor="_bookmark2">
        <w:r>
          <w:rPr>
            <w:b/>
            <w:color w:val="585858"/>
            <w:sz w:val="24"/>
          </w:rPr>
          <w:t>Long-Term Network Building and Management</w:t>
        </w:r>
        <w:r>
          <w:rPr>
            <w:b/>
            <w:color w:val="585858"/>
            <w:spacing w:val="-14"/>
            <w:sz w:val="24"/>
          </w:rPr>
          <w:t> </w:t>
        </w:r>
        <w:r>
          <w:rPr>
            <w:b/>
            <w:color w:val="585858"/>
            <w:sz w:val="24"/>
          </w:rPr>
          <w:t>of</w:t>
        </w:r>
        <w:r>
          <w:rPr>
            <w:b/>
            <w:color w:val="585858"/>
            <w:spacing w:val="-1"/>
            <w:sz w:val="24"/>
          </w:rPr>
          <w:t> </w:t>
        </w:r>
        <w:r>
          <w:rPr>
            <w:b/>
            <w:color w:val="585858"/>
            <w:sz w:val="24"/>
          </w:rPr>
          <w:t>Action</w:t>
        </w:r>
        <w:r>
          <w:rPr>
            <w:b/>
            <w:color w:val="585858"/>
            <w:sz w:val="24"/>
            <w:u w:val="thick" w:color="575757"/>
          </w:rPr>
          <w:t> </w:t>
          <w:tab/>
        </w:r>
        <w:r>
          <w:rPr>
            <w:b/>
            <w:color w:val="585858"/>
            <w:sz w:val="24"/>
          </w:rPr>
          <w:t>7</w:t>
        </w:r>
      </w:hyperlink>
    </w:p>
    <w:p>
      <w:pPr>
        <w:pStyle w:val="ListParagraph"/>
        <w:numPr>
          <w:ilvl w:val="0"/>
          <w:numId w:val="1"/>
        </w:numPr>
        <w:tabs>
          <w:tab w:pos="572" w:val="left" w:leader="none"/>
          <w:tab w:pos="573" w:val="left" w:leader="none"/>
          <w:tab w:pos="9807" w:val="left" w:leader="none"/>
        </w:tabs>
        <w:spacing w:line="240" w:lineRule="auto" w:before="120" w:after="0"/>
        <w:ind w:left="572" w:right="0" w:hanging="439"/>
        <w:jc w:val="left"/>
        <w:rPr>
          <w:b/>
          <w:sz w:val="24"/>
        </w:rPr>
      </w:pPr>
      <w:hyperlink w:history="true" w:anchor="_bookmark3">
        <w:r>
          <w:rPr>
            <w:b/>
            <w:color w:val="585858"/>
            <w:sz w:val="24"/>
          </w:rPr>
          <w:t>Knowledge Management and</w:t>
        </w:r>
        <w:r>
          <w:rPr>
            <w:b/>
            <w:color w:val="585858"/>
            <w:spacing w:val="-8"/>
            <w:sz w:val="24"/>
          </w:rPr>
          <w:t> </w:t>
        </w:r>
        <w:r>
          <w:rPr>
            <w:b/>
            <w:color w:val="585858"/>
            <w:sz w:val="24"/>
          </w:rPr>
          <w:t>Communication</w:t>
        </w:r>
        <w:r>
          <w:rPr>
            <w:b/>
            <w:color w:val="585858"/>
            <w:spacing w:val="1"/>
            <w:sz w:val="24"/>
          </w:rPr>
          <w:t> </w:t>
        </w:r>
        <w:r>
          <w:rPr>
            <w:b/>
            <w:color w:val="585858"/>
            <w:sz w:val="24"/>
          </w:rPr>
          <w:t>Framework</w:t>
        </w:r>
        <w:r>
          <w:rPr>
            <w:b/>
            <w:color w:val="585858"/>
            <w:sz w:val="24"/>
            <w:u w:val="thick" w:color="575757"/>
          </w:rPr>
          <w:t> </w:t>
          <w:tab/>
        </w:r>
        <w:r>
          <w:rPr>
            <w:b/>
            <w:color w:val="585858"/>
            <w:sz w:val="24"/>
          </w:rPr>
          <w:t>16</w:t>
        </w:r>
      </w:hyperlink>
    </w:p>
    <w:p>
      <w:pPr>
        <w:pStyle w:val="ListParagraph"/>
        <w:numPr>
          <w:ilvl w:val="0"/>
          <w:numId w:val="1"/>
        </w:numPr>
        <w:tabs>
          <w:tab w:pos="572" w:val="left" w:leader="none"/>
          <w:tab w:pos="573" w:val="left" w:leader="none"/>
          <w:tab w:pos="9807" w:val="left" w:leader="none"/>
        </w:tabs>
        <w:spacing w:line="240" w:lineRule="auto" w:before="120" w:after="0"/>
        <w:ind w:left="572" w:right="0" w:hanging="439"/>
        <w:jc w:val="left"/>
        <w:rPr>
          <w:b/>
          <w:sz w:val="24"/>
        </w:rPr>
      </w:pPr>
      <w:r>
        <w:rPr/>
        <w:drawing>
          <wp:anchor distT="0" distB="0" distL="0" distR="0" allowOverlap="1" layoutInCell="1" locked="0" behindDoc="1" simplePos="0" relativeHeight="268401527">
            <wp:simplePos x="0" y="0"/>
            <wp:positionH relativeFrom="page">
              <wp:posOffset>1264019</wp:posOffset>
            </wp:positionH>
            <wp:positionV relativeFrom="paragraph">
              <wp:posOffset>265630</wp:posOffset>
            </wp:positionV>
            <wp:extent cx="5299721" cy="5650134"/>
            <wp:effectExtent l="0" t="0" r="0" b="0"/>
            <wp:wrapNone/>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8" cstate="print"/>
                    <a:stretch>
                      <a:fillRect/>
                    </a:stretch>
                  </pic:blipFill>
                  <pic:spPr>
                    <a:xfrm>
                      <a:off x="0" y="0"/>
                      <a:ext cx="5299721" cy="5650134"/>
                    </a:xfrm>
                    <a:prstGeom prst="rect">
                      <a:avLst/>
                    </a:prstGeom>
                  </pic:spPr>
                </pic:pic>
              </a:graphicData>
            </a:graphic>
          </wp:anchor>
        </w:drawing>
      </w:r>
      <w:hyperlink w:history="true" w:anchor="_bookmark4">
        <w:r>
          <w:rPr>
            <w:b/>
            <w:color w:val="585858"/>
            <w:sz w:val="24"/>
          </w:rPr>
          <w:t>Coordinating</w:t>
        </w:r>
        <w:r>
          <w:rPr>
            <w:b/>
            <w:color w:val="585858"/>
            <w:spacing w:val="-4"/>
            <w:sz w:val="24"/>
          </w:rPr>
          <w:t> </w:t>
        </w:r>
        <w:r>
          <w:rPr>
            <w:b/>
            <w:color w:val="585858"/>
            <w:sz w:val="24"/>
          </w:rPr>
          <w:t>Secretariat</w:t>
        </w:r>
        <w:r>
          <w:rPr>
            <w:b/>
            <w:color w:val="585858"/>
            <w:spacing w:val="-4"/>
            <w:sz w:val="24"/>
          </w:rPr>
          <w:t> </w:t>
        </w:r>
        <w:r>
          <w:rPr>
            <w:b/>
            <w:color w:val="585858"/>
            <w:sz w:val="24"/>
          </w:rPr>
          <w:t>Concept</w:t>
        </w:r>
        <w:r>
          <w:rPr>
            <w:b/>
            <w:color w:val="585858"/>
            <w:sz w:val="24"/>
            <w:u w:val="thick" w:color="575757"/>
          </w:rPr>
          <w:t> </w:t>
          <w:tab/>
        </w:r>
        <w:r>
          <w:rPr>
            <w:b/>
            <w:color w:val="585858"/>
            <w:sz w:val="24"/>
          </w:rPr>
          <w:t>18</w:t>
        </w:r>
      </w:hyperlink>
    </w:p>
    <w:p>
      <w:pPr>
        <w:pStyle w:val="ListParagraph"/>
        <w:numPr>
          <w:ilvl w:val="0"/>
          <w:numId w:val="1"/>
        </w:numPr>
        <w:tabs>
          <w:tab w:pos="572" w:val="left" w:leader="none"/>
          <w:tab w:pos="573" w:val="left" w:leader="none"/>
          <w:tab w:pos="9807" w:val="left" w:leader="none"/>
        </w:tabs>
        <w:spacing w:line="240" w:lineRule="auto" w:before="120" w:after="0"/>
        <w:ind w:left="572" w:right="0" w:hanging="439"/>
        <w:jc w:val="left"/>
        <w:rPr>
          <w:b/>
          <w:sz w:val="24"/>
        </w:rPr>
      </w:pPr>
      <w:hyperlink w:history="true" w:anchor="_bookmark5">
        <w:r>
          <w:rPr>
            <w:b/>
            <w:color w:val="585858"/>
            <w:sz w:val="24"/>
          </w:rPr>
          <w:t>Glossary</w:t>
        </w:r>
        <w:r>
          <w:rPr>
            <w:b/>
            <w:color w:val="585858"/>
            <w:sz w:val="24"/>
            <w:u w:val="thick" w:color="575757"/>
          </w:rPr>
          <w:t> </w:t>
          <w:tab/>
        </w:r>
        <w:r>
          <w:rPr>
            <w:b/>
            <w:color w:val="585858"/>
            <w:sz w:val="24"/>
          </w:rPr>
          <w:t>20</w:t>
        </w:r>
      </w:hyperlink>
    </w:p>
    <w:p>
      <w:pPr>
        <w:pStyle w:val="BodyText"/>
        <w:rPr>
          <w:b/>
          <w:sz w:val="24"/>
        </w:rPr>
      </w:pPr>
    </w:p>
    <w:p>
      <w:pPr>
        <w:pStyle w:val="BodyText"/>
        <w:rPr>
          <w:b/>
          <w:sz w:val="24"/>
        </w:rPr>
      </w:pPr>
    </w:p>
    <w:p>
      <w:pPr>
        <w:pStyle w:val="BodyText"/>
        <w:spacing w:before="6"/>
        <w:rPr>
          <w:b/>
          <w:sz w:val="25"/>
        </w:rPr>
      </w:pPr>
    </w:p>
    <w:p>
      <w:pPr>
        <w:pStyle w:val="Heading4"/>
        <w:spacing w:before="1"/>
        <w:ind w:left="133"/>
      </w:pPr>
      <w:r>
        <w:rPr>
          <w:color w:val="585858"/>
        </w:rPr>
        <w:t>Summary</w:t>
      </w:r>
    </w:p>
    <w:p>
      <w:pPr>
        <w:pStyle w:val="BodyText"/>
        <w:spacing w:before="120"/>
        <w:ind w:left="133" w:right="235"/>
      </w:pPr>
      <w:r>
        <w:rPr>
          <w:color w:val="585858"/>
        </w:rPr>
        <w:t>In this background paper (BP) the elements for a long-term perspective of LEAP-RE has been drafted. This includes explanations about the role Theories of Change and Impact Pathways (TCIP) as an instrument for future planning and Monitoring and Evaluation (M&amp;E) as well as the model of the Programme and Innovation Management Cycle (PIMC) for a long-term learning and collaborative programming and impact process in Research and Innovation (R&amp;I) and Human and Institutional Capacity Building (HICB) in multi-stakeholder ecosystems. Furthermore an AU-EU Knowledge Management and Communication Framework (KMCF) is described towards a more effective and efficient exchange and collaboration between all actors in the field of RE.</w:t>
      </w:r>
    </w:p>
    <w:p>
      <w:pPr>
        <w:spacing w:after="0"/>
        <w:sectPr>
          <w:footerReference w:type="default" r:id="rId17"/>
          <w:pgSz w:w="11920" w:h="16850"/>
          <w:pgMar w:footer="803" w:header="0" w:top="960" w:bottom="1000" w:left="1000" w:right="740"/>
          <w:pgNumType w:start="2"/>
        </w:sectPr>
      </w:pPr>
    </w:p>
    <w:p>
      <w:pPr>
        <w:pStyle w:val="Heading1"/>
        <w:numPr>
          <w:ilvl w:val="0"/>
          <w:numId w:val="2"/>
        </w:numPr>
        <w:tabs>
          <w:tab w:pos="557" w:val="left" w:leader="none"/>
          <w:tab w:pos="559" w:val="left" w:leader="none"/>
        </w:tabs>
        <w:spacing w:line="240" w:lineRule="auto" w:before="32" w:after="0"/>
        <w:ind w:left="558" w:right="0" w:hanging="425"/>
        <w:jc w:val="left"/>
      </w:pPr>
      <w:bookmarkStart w:name="_bookmark0" w:id="2"/>
      <w:bookmarkEnd w:id="2"/>
      <w:r>
        <w:rPr>
          <w:b w:val="0"/>
        </w:rPr>
      </w:r>
      <w:bookmarkStart w:name="_bookmark0" w:id="3"/>
      <w:bookmarkEnd w:id="3"/>
      <w:r>
        <w:rPr>
          <w:color w:val="585858"/>
        </w:rPr>
        <w:t>Introd</w:t>
      </w:r>
      <w:r>
        <w:rPr>
          <w:color w:val="585858"/>
        </w:rPr>
        <w:t>uction</w:t>
      </w:r>
    </w:p>
    <w:p>
      <w:pPr>
        <w:pStyle w:val="BodyText"/>
        <w:spacing w:line="259" w:lineRule="auto" w:before="119"/>
        <w:ind w:left="560" w:right="105"/>
        <w:jc w:val="both"/>
      </w:pPr>
      <w:r>
        <w:rPr>
          <w:color w:val="585858"/>
        </w:rPr>
        <w:t>The </w:t>
      </w:r>
      <w:r>
        <w:rPr>
          <w:b/>
          <w:color w:val="585858"/>
        </w:rPr>
        <w:t>strength </w:t>
      </w:r>
      <w:r>
        <w:rPr>
          <w:color w:val="585858"/>
        </w:rPr>
        <w:t>of joint programming activities in R&amp;I is the coordination of funders and other actors while pooling resources to jointly tackle challenges in research, innovation and capacity building.</w:t>
      </w:r>
    </w:p>
    <w:p>
      <w:pPr>
        <w:pStyle w:val="BodyText"/>
        <w:spacing w:line="259" w:lineRule="auto" w:before="159"/>
        <w:ind w:left="560" w:right="106"/>
        <w:jc w:val="both"/>
      </w:pPr>
      <w:r>
        <w:rPr/>
        <w:drawing>
          <wp:anchor distT="0" distB="0" distL="0" distR="0" allowOverlap="1" layoutInCell="1" locked="0" behindDoc="1" simplePos="0" relativeHeight="268401551">
            <wp:simplePos x="0" y="0"/>
            <wp:positionH relativeFrom="page">
              <wp:posOffset>1264019</wp:posOffset>
            </wp:positionH>
            <wp:positionV relativeFrom="paragraph">
              <wp:posOffset>1116503</wp:posOffset>
            </wp:positionV>
            <wp:extent cx="5299721" cy="5650134"/>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8" cstate="print"/>
                    <a:stretch>
                      <a:fillRect/>
                    </a:stretch>
                  </pic:blipFill>
                  <pic:spPr>
                    <a:xfrm>
                      <a:off x="0" y="0"/>
                      <a:ext cx="5299721" cy="5650134"/>
                    </a:xfrm>
                    <a:prstGeom prst="rect">
                      <a:avLst/>
                    </a:prstGeom>
                  </pic:spPr>
                </pic:pic>
              </a:graphicData>
            </a:graphic>
          </wp:anchor>
        </w:drawing>
      </w:r>
      <w:r>
        <w:rPr>
          <w:color w:val="585858"/>
        </w:rPr>
        <w:t>One </w:t>
      </w:r>
      <w:r>
        <w:rPr>
          <w:b/>
          <w:color w:val="585858"/>
        </w:rPr>
        <w:t>weaknesses </w:t>
      </w:r>
      <w:r>
        <w:rPr>
          <w:color w:val="585858"/>
        </w:rPr>
        <w:t>of joint programmes in R&amp;I could be the lack of focus because topics often are too broad towards integrating more funders. Since joint programmes are in a historical and a future oriented context, they could built on existing knowledge and networks and hand over results towards future activities in R&amp;I. But, and these are two further weaknesses, funding networks tend to start with research topics that are lacking gaps analysis and also tend to halt their collaboration after the first call. They are mostly </w:t>
      </w:r>
      <w:r>
        <w:rPr>
          <w:i/>
          <w:color w:val="585858"/>
        </w:rPr>
        <w:t>neither embedded in a long-term process nor in a long-term vision. Therefore, another weakness is </w:t>
      </w:r>
      <w:r>
        <w:rPr>
          <w:i/>
          <w:color w:val="585858"/>
        </w:rPr>
        <w:t>that </w:t>
      </w:r>
      <w:r>
        <w:rPr>
          <w:color w:val="585858"/>
        </w:rPr>
        <w:t>funding networks do not systematically communicate the research outputs and analysis of outcomes to be fed into innovation systems, which also doesn’t allow a proper impact analysis.</w:t>
      </w:r>
    </w:p>
    <w:p>
      <w:pPr>
        <w:pStyle w:val="BodyText"/>
        <w:spacing w:line="259" w:lineRule="auto" w:before="160"/>
        <w:ind w:left="560" w:right="104"/>
        <w:jc w:val="both"/>
      </w:pPr>
      <w:r>
        <w:rPr>
          <w:b/>
          <w:color w:val="585858"/>
        </w:rPr>
        <w:t>Threats </w:t>
      </w:r>
      <w:r>
        <w:rPr>
          <w:color w:val="585858"/>
        </w:rPr>
        <w:t>of joint programmes in R&amp;I are about that less focussed research does not sufficiently address local or specific challenges. Dispersed results from research might also be not well understood by end- users or the amount of available research results is too big and only disseminated instead of communicated without analytical reflection in a dialogue with end-users, and therefore research might be not put into use.</w:t>
      </w:r>
    </w:p>
    <w:p>
      <w:pPr>
        <w:pStyle w:val="BodyText"/>
        <w:spacing w:line="259" w:lineRule="auto" w:before="160"/>
        <w:ind w:left="560" w:right="106"/>
        <w:jc w:val="both"/>
      </w:pPr>
      <w:r>
        <w:rPr>
          <w:color w:val="585858"/>
        </w:rPr>
        <w:t>The </w:t>
      </w:r>
      <w:r>
        <w:rPr>
          <w:b/>
          <w:color w:val="585858"/>
        </w:rPr>
        <w:t>opportunities </w:t>
      </w:r>
      <w:r>
        <w:rPr>
          <w:color w:val="585858"/>
        </w:rPr>
        <w:t>of joint programmes are research-recommendation uptake if they support building communicating R&amp;I networks which sets up close linkages or even integrates into  innovation systems. This would mean involving experienced actors from different disciplines and sectors along value chains, including end-user, into the development process of joint programmes in R&amp;I right from the beginning. This could result in (sub-) regional system oriented agenda setting for research and recommendations based on and addressing real needs. Furthermore condensed and targeted communication of summaries of research outputs and recommendations based on historical knowledge in the field of R&amp;I could lead to an institutionalisation of learning and feed into future R&amp;I programmes. Building a long-term collaboration-network and –infrastructure over and above of single programmes is a further</w:t>
      </w:r>
      <w:r>
        <w:rPr>
          <w:color w:val="585858"/>
          <w:spacing w:val="-26"/>
        </w:rPr>
        <w:t> </w:t>
      </w:r>
      <w:r>
        <w:rPr>
          <w:color w:val="585858"/>
        </w:rPr>
        <w:t>opportunity.</w:t>
      </w:r>
    </w:p>
    <w:p>
      <w:pPr>
        <w:pStyle w:val="BodyText"/>
        <w:spacing w:line="259" w:lineRule="auto" w:before="157"/>
        <w:ind w:left="560" w:right="107"/>
        <w:jc w:val="both"/>
      </w:pPr>
      <w:r>
        <w:rPr>
          <w:color w:val="585858"/>
        </w:rPr>
        <w:t>Towards benefiting from the above stated strength and opportunities of joint programmes in R&amp;I and for addressing their weaknesses and threats, they should be embedded in three major elements  which should form the basis for long-term inclusive</w:t>
      </w:r>
      <w:r>
        <w:rPr>
          <w:color w:val="585858"/>
          <w:spacing w:val="-8"/>
        </w:rPr>
        <w:t> </w:t>
      </w:r>
      <w:r>
        <w:rPr>
          <w:color w:val="585858"/>
        </w:rPr>
        <w:t>collaborations:</w:t>
      </w:r>
    </w:p>
    <w:p>
      <w:pPr>
        <w:pStyle w:val="BodyText"/>
      </w:pPr>
    </w:p>
    <w:p>
      <w:pPr>
        <w:pStyle w:val="BodyText"/>
        <w:spacing w:before="10"/>
        <w:rPr>
          <w:sz w:val="27"/>
        </w:rPr>
      </w:pPr>
    </w:p>
    <w:p>
      <w:pPr>
        <w:pStyle w:val="ListParagraph"/>
        <w:numPr>
          <w:ilvl w:val="1"/>
          <w:numId w:val="2"/>
        </w:numPr>
        <w:tabs>
          <w:tab w:pos="1574" w:val="left" w:leader="none"/>
        </w:tabs>
        <w:spacing w:line="240" w:lineRule="auto" w:before="0" w:after="0"/>
        <w:ind w:left="1573" w:right="0" w:hanging="360"/>
        <w:jc w:val="left"/>
        <w:rPr>
          <w:sz w:val="22"/>
        </w:rPr>
      </w:pPr>
      <w:r>
        <w:rPr>
          <w:color w:val="585858"/>
          <w:sz w:val="22"/>
        </w:rPr>
        <w:t>Theory of Change and Impact Pathway</w:t>
      </w:r>
      <w:r>
        <w:rPr>
          <w:color w:val="585858"/>
          <w:spacing w:val="-5"/>
          <w:sz w:val="22"/>
        </w:rPr>
        <w:t> </w:t>
      </w:r>
      <w:r>
        <w:rPr>
          <w:color w:val="585858"/>
          <w:sz w:val="22"/>
        </w:rPr>
        <w:t>(</w:t>
      </w:r>
      <w:r>
        <w:rPr>
          <w:b/>
          <w:color w:val="585858"/>
          <w:sz w:val="22"/>
        </w:rPr>
        <w:t>TCIP</w:t>
      </w:r>
      <w:r>
        <w:rPr>
          <w:color w:val="585858"/>
          <w:sz w:val="22"/>
        </w:rPr>
        <w:t>),</w:t>
      </w:r>
    </w:p>
    <w:p>
      <w:pPr>
        <w:pStyle w:val="ListParagraph"/>
        <w:numPr>
          <w:ilvl w:val="1"/>
          <w:numId w:val="2"/>
        </w:numPr>
        <w:tabs>
          <w:tab w:pos="1574" w:val="left" w:leader="none"/>
        </w:tabs>
        <w:spacing w:line="240" w:lineRule="auto" w:before="184" w:after="0"/>
        <w:ind w:left="1573" w:right="0" w:hanging="360"/>
        <w:jc w:val="left"/>
        <w:rPr>
          <w:sz w:val="22"/>
        </w:rPr>
      </w:pPr>
      <w:r>
        <w:rPr>
          <w:color w:val="585858"/>
          <w:sz w:val="22"/>
        </w:rPr>
        <w:t>Long-term model of Programme and Innovation Management Cycles</w:t>
      </w:r>
      <w:r>
        <w:rPr>
          <w:color w:val="585858"/>
          <w:spacing w:val="-12"/>
          <w:sz w:val="22"/>
        </w:rPr>
        <w:t> </w:t>
      </w:r>
      <w:r>
        <w:rPr>
          <w:color w:val="585858"/>
          <w:sz w:val="22"/>
        </w:rPr>
        <w:t>(</w:t>
      </w:r>
      <w:r>
        <w:rPr>
          <w:b/>
          <w:color w:val="585858"/>
          <w:sz w:val="22"/>
        </w:rPr>
        <w:t>PIMC</w:t>
      </w:r>
      <w:r>
        <w:rPr>
          <w:color w:val="585858"/>
          <w:sz w:val="22"/>
        </w:rPr>
        <w:t>)</w:t>
      </w:r>
    </w:p>
    <w:p>
      <w:pPr>
        <w:pStyle w:val="ListParagraph"/>
        <w:numPr>
          <w:ilvl w:val="1"/>
          <w:numId w:val="2"/>
        </w:numPr>
        <w:tabs>
          <w:tab w:pos="1574" w:val="left" w:leader="none"/>
        </w:tabs>
        <w:spacing w:line="240" w:lineRule="auto" w:before="180" w:after="0"/>
        <w:ind w:left="1573" w:right="0" w:hanging="360"/>
        <w:jc w:val="left"/>
        <w:rPr>
          <w:sz w:val="22"/>
        </w:rPr>
      </w:pPr>
      <w:r>
        <w:rPr>
          <w:color w:val="585858"/>
          <w:sz w:val="22"/>
        </w:rPr>
        <w:t>Knowledge Management and Communication Framework</w:t>
      </w:r>
      <w:r>
        <w:rPr>
          <w:color w:val="585858"/>
          <w:spacing w:val="-10"/>
          <w:sz w:val="22"/>
        </w:rPr>
        <w:t> </w:t>
      </w:r>
      <w:r>
        <w:rPr>
          <w:color w:val="585858"/>
          <w:sz w:val="22"/>
        </w:rPr>
        <w:t>(</w:t>
      </w:r>
      <w:r>
        <w:rPr>
          <w:b/>
          <w:color w:val="585858"/>
          <w:sz w:val="22"/>
        </w:rPr>
        <w:t>KMCF</w:t>
      </w:r>
      <w:r>
        <w:rPr>
          <w:color w:val="585858"/>
          <w:sz w:val="22"/>
        </w:rPr>
        <w:t>).</w:t>
      </w:r>
    </w:p>
    <w:p>
      <w:pPr>
        <w:spacing w:after="0" w:line="240" w:lineRule="auto"/>
        <w:jc w:val="left"/>
        <w:rPr>
          <w:sz w:val="22"/>
        </w:rPr>
        <w:sectPr>
          <w:pgSz w:w="11920" w:h="16850"/>
          <w:pgMar w:header="0" w:footer="803" w:top="960" w:bottom="1360" w:left="100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4"/>
      </w:pPr>
      <w:r>
        <w:rPr/>
        <w:pict>
          <v:group style="position:absolute;margin-left:78pt;margin-top:-279.136353pt;width:480.05pt;height:584.85pt;mso-position-horizontal-relative:page;mso-position-vertical-relative:paragraph;z-index:-33880" coordorigin="1560,-5583" coordsize="9601,11697">
            <v:shape style="position:absolute;left:1990;top:-2784;width:8347;height:8898" type="#_x0000_t75" stroked="false">
              <v:imagedata r:id="rId18" o:title=""/>
            </v:shape>
            <v:shape style="position:absolute;left:1560;top:-5583;width:9601;height:5401" type="#_x0000_t75" stroked="false">
              <v:imagedata r:id="rId19" o:title=""/>
            </v:shape>
            <v:shape style="position:absolute;left:5834;top:1972;width:5244;height:3435" type="#_x0000_t75" stroked="false">
              <v:imagedata r:id="rId20" o:title=""/>
            </v:shape>
            <w10:wrap type="none"/>
          </v:group>
        </w:pict>
      </w:r>
      <w:r>
        <w:rPr>
          <w:color w:val="585858"/>
        </w:rPr>
        <w:t>Figure 1: The Long-Term LEAP-Approach</w:t>
      </w:r>
    </w:p>
    <w:p>
      <w:pPr>
        <w:pStyle w:val="BodyText"/>
        <w:rPr>
          <w:b/>
        </w:rPr>
      </w:pPr>
    </w:p>
    <w:p>
      <w:pPr>
        <w:pStyle w:val="BodyText"/>
        <w:spacing w:before="11"/>
        <w:rPr>
          <w:b/>
          <w:sz w:val="18"/>
        </w:rPr>
      </w:pPr>
    </w:p>
    <w:p>
      <w:pPr>
        <w:pStyle w:val="ListParagraph"/>
        <w:numPr>
          <w:ilvl w:val="0"/>
          <w:numId w:val="2"/>
        </w:numPr>
        <w:tabs>
          <w:tab w:pos="557" w:val="left" w:leader="none"/>
          <w:tab w:pos="559" w:val="left" w:leader="none"/>
        </w:tabs>
        <w:spacing w:line="240" w:lineRule="auto" w:before="0" w:after="0"/>
        <w:ind w:left="558" w:right="0" w:hanging="425"/>
        <w:jc w:val="left"/>
        <w:rPr>
          <w:b/>
          <w:sz w:val="28"/>
        </w:rPr>
      </w:pPr>
      <w:bookmarkStart w:name="_bookmark1" w:id="4"/>
      <w:bookmarkEnd w:id="4"/>
      <w:r>
        <w:rPr/>
      </w:r>
      <w:bookmarkStart w:name="_bookmark1" w:id="5"/>
      <w:bookmarkEnd w:id="5"/>
      <w:r>
        <w:rPr>
          <w:b/>
          <w:color w:val="585858"/>
          <w:sz w:val="28"/>
        </w:rPr>
        <w:t>Th</w:t>
      </w:r>
      <w:r>
        <w:rPr>
          <w:b/>
          <w:color w:val="585858"/>
          <w:sz w:val="28"/>
        </w:rPr>
        <w:t>eories of Change and Impact</w:t>
      </w:r>
      <w:r>
        <w:rPr>
          <w:b/>
          <w:color w:val="585858"/>
          <w:spacing w:val="-5"/>
          <w:sz w:val="28"/>
        </w:rPr>
        <w:t> </w:t>
      </w:r>
      <w:r>
        <w:rPr>
          <w:b/>
          <w:color w:val="585858"/>
          <w:sz w:val="28"/>
        </w:rPr>
        <w:t>Pathways</w:t>
      </w:r>
    </w:p>
    <w:p>
      <w:pPr>
        <w:pStyle w:val="BodyText"/>
        <w:spacing w:line="259" w:lineRule="auto" w:before="122"/>
        <w:ind w:left="560" w:right="112"/>
        <w:jc w:val="both"/>
      </w:pPr>
      <w:r>
        <w:rPr>
          <w:color w:val="585858"/>
        </w:rPr>
        <w:t>A Theory of Change &amp; Impact Pathway is a starting point for R&amp;I activities and it is a planning and communication tool for reflecting regularly on processes, both on project and programme level.</w:t>
      </w:r>
    </w:p>
    <w:p>
      <w:pPr>
        <w:pStyle w:val="BodyText"/>
        <w:spacing w:line="259" w:lineRule="auto" w:before="159"/>
        <w:ind w:left="560" w:right="5511"/>
        <w:jc w:val="both"/>
      </w:pPr>
      <w:r>
        <w:rPr>
          <w:color w:val="585858"/>
        </w:rPr>
        <w:t>At the beginning of the development of a programme, all relevant actors who are involved or affected by the programmes’ activities, should be represented and involved in a dialogue for analyzing a specific situation. In this case the situation about RE in Africa and Europe will have to be addressed by defining agendas for Research and Innovation (R&amp;I) and Human and Institutional Capacity Building (HICB), together with preliminary impact pathways about expected output, outcome and</w:t>
      </w:r>
      <w:r>
        <w:rPr>
          <w:color w:val="585858"/>
          <w:spacing w:val="18"/>
        </w:rPr>
        <w:t> </w:t>
      </w:r>
      <w:r>
        <w:rPr>
          <w:color w:val="585858"/>
        </w:rPr>
        <w:t>impact</w:t>
      </w:r>
    </w:p>
    <w:p>
      <w:pPr>
        <w:pStyle w:val="BodyText"/>
        <w:spacing w:line="259" w:lineRule="auto"/>
        <w:ind w:left="560" w:right="110"/>
        <w:jc w:val="both"/>
      </w:pPr>
      <w:r>
        <w:rPr>
          <w:color w:val="585858"/>
        </w:rPr>
        <w:t>of the envisaged activities. In the case of (PRE-) LEAP-RE these agendas and impact pathways are titled as Multi-Annual Roadmaps.</w:t>
      </w:r>
    </w:p>
    <w:p>
      <w:pPr>
        <w:pStyle w:val="BodyText"/>
        <w:spacing w:line="259" w:lineRule="auto" w:before="157"/>
        <w:ind w:left="560" w:right="108"/>
        <w:jc w:val="both"/>
      </w:pPr>
      <w:r>
        <w:rPr>
          <w:color w:val="585858"/>
        </w:rPr>
        <w:t>Once the research output of a programme is available, e.g. after LEAP-RE funded projects came to an end and perhaps research results from other ‘external’ research and innovation activities should be merged with the programme’s results, the TCIP will allow a structured way of reflection about the state of affairs in the ‘eco-system’ of actors in RE and the next steps to be</w:t>
      </w:r>
      <w:r>
        <w:rPr>
          <w:color w:val="585858"/>
          <w:spacing w:val="-9"/>
        </w:rPr>
        <w:t> </w:t>
      </w:r>
      <w:r>
        <w:rPr>
          <w:color w:val="585858"/>
        </w:rPr>
        <w:t>taken.</w:t>
      </w:r>
    </w:p>
    <w:p>
      <w:pPr>
        <w:pStyle w:val="BodyText"/>
        <w:spacing w:line="259" w:lineRule="auto" w:before="160"/>
        <w:ind w:left="560" w:right="109"/>
        <w:jc w:val="both"/>
      </w:pPr>
      <w:r>
        <w:rPr>
          <w:color w:val="585858"/>
        </w:rPr>
        <w:t>In case a programme comes to an end only with the publication of research output, but no  further process for the collaboration between scientists and innovators towards the use of the research results has been established, the value of the TCIP and the research will not have been fully</w:t>
      </w:r>
      <w:r>
        <w:rPr>
          <w:color w:val="585858"/>
          <w:spacing w:val="-25"/>
        </w:rPr>
        <w:t> </w:t>
      </w:r>
      <w:r>
        <w:rPr>
          <w:color w:val="585858"/>
        </w:rPr>
        <w:t>exploited.</w:t>
      </w:r>
    </w:p>
    <w:p>
      <w:pPr>
        <w:spacing w:after="0" w:line="259" w:lineRule="auto"/>
        <w:jc w:val="both"/>
        <w:sectPr>
          <w:pgSz w:w="11920" w:h="16850"/>
          <w:pgMar w:header="0" w:footer="803" w:top="1000" w:bottom="1360" w:left="1000" w:right="740"/>
        </w:sectPr>
      </w:pPr>
    </w:p>
    <w:p>
      <w:pPr>
        <w:pStyle w:val="BodyText"/>
        <w:spacing w:line="259" w:lineRule="auto" w:before="32"/>
        <w:ind w:left="560" w:right="107"/>
        <w:jc w:val="both"/>
      </w:pPr>
      <w:r>
        <w:rPr>
          <w:color w:val="585858"/>
        </w:rPr>
        <w:t>After a period of research activities questions occure like: Is the research output sufficient to address the expected outcomes and impact? Are the intentions of the TCIP still in line with the needs in the current situation? Are the expected Multi-Annual Roadmaps still realistic? Which new questions and needs occurred during the research period? About these and other questions, the involved stakeholders could reflect by focusing on their common TCIP towards the implementation of the gained knowledge. Therefore a proper R&amp;I programme should include a process like a kind a ‘follow up’ towards the improvement of the situations that have been intended to be addressed with the research as well as for learning from the whole R&amp;I</w:t>
      </w:r>
      <w:r>
        <w:rPr>
          <w:color w:val="585858"/>
          <w:spacing w:val="-2"/>
        </w:rPr>
        <w:t> </w:t>
      </w:r>
      <w:r>
        <w:rPr>
          <w:color w:val="585858"/>
        </w:rPr>
        <w:t>process.</w:t>
      </w:r>
    </w:p>
    <w:p>
      <w:pPr>
        <w:pStyle w:val="BodyText"/>
        <w:spacing w:line="259" w:lineRule="auto" w:before="157"/>
        <w:ind w:left="560" w:right="107"/>
        <w:jc w:val="both"/>
      </w:pPr>
      <w:r>
        <w:rPr/>
        <w:drawing>
          <wp:anchor distT="0" distB="0" distL="0" distR="0" allowOverlap="1" layoutInCell="1" locked="0" behindDoc="1" simplePos="0" relativeHeight="268401599">
            <wp:simplePos x="0" y="0"/>
            <wp:positionH relativeFrom="page">
              <wp:posOffset>1264019</wp:posOffset>
            </wp:positionH>
            <wp:positionV relativeFrom="paragraph">
              <wp:posOffset>304465</wp:posOffset>
            </wp:positionV>
            <wp:extent cx="5299721" cy="5650134"/>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8" cstate="print"/>
                    <a:stretch>
                      <a:fillRect/>
                    </a:stretch>
                  </pic:blipFill>
                  <pic:spPr>
                    <a:xfrm>
                      <a:off x="0" y="0"/>
                      <a:ext cx="5299721" cy="5650134"/>
                    </a:xfrm>
                    <a:prstGeom prst="rect">
                      <a:avLst/>
                    </a:prstGeom>
                  </pic:spPr>
                </pic:pic>
              </a:graphicData>
            </a:graphic>
          </wp:anchor>
        </w:drawing>
      </w:r>
      <w:r>
        <w:rPr>
          <w:color w:val="585858"/>
        </w:rPr>
        <w:t>For fostering research uptake, the programm’s research output might have to be reformatted by a group of experts, and then it would have to be communicated to very different end-users, like e.g. entrepreneurs, decision makers and NGO’s who are working in the field of RE. After a period of time, about which the stakeholders who are involved will agree upon, e.g. three years, the TCIP once again could form the reference point for reflection about the programm’s activities. As a final reflection at the end of a programme, the TCIP could then also serve as a starting point for a new, second programme including a new</w:t>
      </w:r>
      <w:r>
        <w:rPr>
          <w:color w:val="585858"/>
          <w:spacing w:val="-1"/>
        </w:rPr>
        <w:t> </w:t>
      </w:r>
      <w:r>
        <w:rPr>
          <w:color w:val="585858"/>
        </w:rPr>
        <w:t>TCIP#2.</w:t>
      </w:r>
    </w:p>
    <w:p>
      <w:pPr>
        <w:pStyle w:val="BodyText"/>
        <w:spacing w:line="259" w:lineRule="auto" w:before="159"/>
        <w:ind w:left="560" w:right="104"/>
        <w:jc w:val="both"/>
      </w:pPr>
      <w:r>
        <w:rPr>
          <w:color w:val="585858"/>
        </w:rPr>
        <w:t>It is important to note, that the TCIP would not only be applied on the programme level, but also in all ‘projects’ funded in the programme’s context. This means that research partners will have to develop  with their consortia individual project TCIPs, which will also serve during the projects’ periods as a planning and communication</w:t>
      </w:r>
      <w:r>
        <w:rPr>
          <w:color w:val="585858"/>
          <w:spacing w:val="-3"/>
        </w:rPr>
        <w:t> </w:t>
      </w:r>
      <w:r>
        <w:rPr>
          <w:color w:val="585858"/>
        </w:rPr>
        <w:t>tool.</w:t>
      </w:r>
    </w:p>
    <w:p>
      <w:pPr>
        <w:pStyle w:val="BodyText"/>
        <w:spacing w:before="160"/>
        <w:ind w:left="560"/>
        <w:jc w:val="both"/>
      </w:pPr>
      <w:r>
        <w:rPr>
          <w:color w:val="585858"/>
        </w:rPr>
        <w:t>TCIPs in general are reference points for dialogues in the mid and at the end of different processes.</w:t>
      </w:r>
    </w:p>
    <w:p>
      <w:pPr>
        <w:pStyle w:val="BodyText"/>
        <w:spacing w:line="256" w:lineRule="auto" w:before="182"/>
        <w:ind w:left="560" w:right="109"/>
        <w:jc w:val="both"/>
      </w:pPr>
      <w:r>
        <w:rPr>
          <w:color w:val="585858"/>
        </w:rPr>
        <w:t>The development of a TCIP starts with a block of analytical activities, like e.g. the eco-system analysis already conducted by PRE-LEAP-RE (see the figure about the TCIP below).</w:t>
      </w:r>
    </w:p>
    <w:p>
      <w:pPr>
        <w:pStyle w:val="BodyText"/>
        <w:spacing w:line="259" w:lineRule="auto" w:before="165"/>
        <w:ind w:left="560" w:right="110"/>
        <w:jc w:val="both"/>
      </w:pPr>
      <w:r>
        <w:rPr>
          <w:color w:val="585858"/>
        </w:rPr>
        <w:t>Which problems have to be addressed? Which causes, in particular knowledge and capacity related causes could be identified? Answers to these questions, together with a context analysis including a stakeholder analysis, will give a clearer picture about the situation to be</w:t>
      </w:r>
      <w:r>
        <w:rPr>
          <w:color w:val="585858"/>
          <w:spacing w:val="-8"/>
        </w:rPr>
        <w:t> </w:t>
      </w:r>
      <w:r>
        <w:rPr>
          <w:color w:val="585858"/>
        </w:rPr>
        <w:t>addressed.</w:t>
      </w:r>
    </w:p>
    <w:p>
      <w:pPr>
        <w:pStyle w:val="BodyText"/>
        <w:spacing w:line="259" w:lineRule="auto" w:before="160"/>
        <w:ind w:left="560" w:right="107"/>
        <w:jc w:val="both"/>
      </w:pPr>
      <w:r>
        <w:rPr>
          <w:color w:val="585858"/>
        </w:rPr>
        <w:t>Then, in a project like PRE-LEAP-RE, together with other stakeholders, agendas and impact pathways R&amp;I and HICB activities will have to be developed (see #1BP Roadmaps &amp; Ecosystem). The Multi-Annual Roadmaps are symbolized as 6 red arrows in figure 1 below.</w:t>
      </w:r>
    </w:p>
    <w:p>
      <w:pPr>
        <w:spacing w:after="0" w:line="259" w:lineRule="auto"/>
        <w:jc w:val="both"/>
        <w:sectPr>
          <w:pgSz w:w="11920" w:h="16850"/>
          <w:pgMar w:header="0" w:footer="803" w:top="960" w:bottom="1360" w:left="100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pStyle w:val="Heading4"/>
      </w:pPr>
      <w:r>
        <w:rPr/>
        <w:pict>
          <v:group style="position:absolute;margin-left:78pt;margin-top:-279.136353pt;width:480.05pt;height:626.65pt;mso-position-horizontal-relative:page;mso-position-vertical-relative:paragraph;z-index:-33832" coordorigin="1560,-5583" coordsize="9601,12533">
            <v:shape style="position:absolute;left:1990;top:-2784;width:8347;height:8898" type="#_x0000_t75" stroked="false">
              <v:imagedata r:id="rId18" o:title=""/>
            </v:shape>
            <v:shape style="position:absolute;left:1560;top:-5583;width:9601;height:5401" type="#_x0000_t75" stroked="false">
              <v:imagedata r:id="rId21" o:title=""/>
            </v:shape>
            <v:shape style="position:absolute;left:1560;top:1548;width:9601;height:5401" type="#_x0000_t75" stroked="false">
              <v:imagedata r:id="rId22" o:title=""/>
            </v:shape>
            <w10:wrap type="none"/>
          </v:group>
        </w:pict>
      </w:r>
      <w:r>
        <w:rPr>
          <w:color w:val="585858"/>
        </w:rPr>
        <w:t>Figure 2: Theory of Change and Impact Pathway</w:t>
      </w:r>
    </w:p>
    <w:p>
      <w:pPr>
        <w:pStyle w:val="BodyText"/>
        <w:spacing w:before="1"/>
        <w:rPr>
          <w:b/>
          <w:sz w:val="31"/>
        </w:rPr>
      </w:pPr>
    </w:p>
    <w:p>
      <w:pPr>
        <w:pStyle w:val="BodyText"/>
        <w:ind w:left="560"/>
      </w:pPr>
      <w:r>
        <w:rPr>
          <w:color w:val="585858"/>
        </w:rPr>
        <w:t>Currently the following 6 Multi-Annual Roadmaps for LEAP-RE are in the debate.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5"/>
        </w:rPr>
      </w:pPr>
    </w:p>
    <w:p>
      <w:pPr>
        <w:pStyle w:val="Heading4"/>
      </w:pPr>
      <w:r>
        <w:rPr>
          <w:color w:val="585858"/>
        </w:rPr>
        <w:t>Figure 3: Preliminary list of Agendas &amp; Pathways</w:t>
      </w:r>
    </w:p>
    <w:p>
      <w:pPr>
        <w:pStyle w:val="BodyText"/>
        <w:spacing w:before="4"/>
        <w:rPr>
          <w:b/>
          <w:sz w:val="31"/>
        </w:rPr>
      </w:pPr>
    </w:p>
    <w:p>
      <w:pPr>
        <w:pStyle w:val="BodyText"/>
        <w:spacing w:line="259" w:lineRule="auto"/>
        <w:ind w:left="560"/>
      </w:pPr>
      <w:r>
        <w:rPr>
          <w:color w:val="585858"/>
        </w:rPr>
        <w:t>In reality impact pathways are more complex and not that straight as suggested in the TCIP model. It is intended to paint with a TCIP an ideal image of knowledge sharing and research uptake, including</w:t>
      </w:r>
    </w:p>
    <w:p>
      <w:pPr>
        <w:spacing w:after="0" w:line="259" w:lineRule="auto"/>
        <w:sectPr>
          <w:pgSz w:w="11920" w:h="16850"/>
          <w:pgMar w:header="0" w:footer="803" w:top="1000" w:bottom="1360" w:left="1000" w:right="740"/>
        </w:sectPr>
      </w:pPr>
    </w:p>
    <w:p>
      <w:pPr>
        <w:pStyle w:val="BodyText"/>
        <w:spacing w:line="259" w:lineRule="auto" w:before="32"/>
        <w:ind w:left="560" w:right="108"/>
        <w:jc w:val="both"/>
      </w:pPr>
      <w:r>
        <w:rPr>
          <w:color w:val="585858"/>
        </w:rPr>
        <w:t>stakeholder engagement and capacity development, for orientation purposes and as an element towards a long-term collaboration in</w:t>
      </w:r>
      <w:r>
        <w:rPr>
          <w:color w:val="585858"/>
          <w:spacing w:val="-4"/>
        </w:rPr>
        <w:t> </w:t>
      </w:r>
      <w:r>
        <w:rPr>
          <w:color w:val="585858"/>
        </w:rPr>
        <w:t>R&amp;I.</w:t>
      </w:r>
    </w:p>
    <w:p>
      <w:pPr>
        <w:pStyle w:val="BodyText"/>
        <w:spacing w:line="259" w:lineRule="auto" w:before="159"/>
        <w:ind w:left="560" w:right="106"/>
        <w:jc w:val="both"/>
      </w:pPr>
      <w:r>
        <w:rPr>
          <w:color w:val="585858"/>
        </w:rPr>
        <w:t>Once a consortium of partners in a programme agreed on the Multi-Annual Roadmaps, a long-term M&amp;E concept could be developed which will serve the coming programm as well as the learning process towards coming programmes.</w:t>
      </w:r>
    </w:p>
    <w:p>
      <w:pPr>
        <w:pStyle w:val="BodyText"/>
        <w:spacing w:line="259" w:lineRule="auto" w:before="160"/>
        <w:ind w:left="560" w:right="104"/>
        <w:jc w:val="both"/>
      </w:pPr>
      <w:r>
        <w:rPr/>
        <w:pict>
          <v:group style="position:absolute;margin-left:78pt;margin-top:59.523655pt;width:438.85pt;height:444.9pt;mso-position-horizontal-relative:page;mso-position-vertical-relative:paragraph;z-index:-33808" coordorigin="1560,1190" coordsize="8777,8898">
            <v:shape style="position:absolute;left:1990;top:1190;width:8347;height:8898" type="#_x0000_t75" stroked="false">
              <v:imagedata r:id="rId18" o:title=""/>
            </v:shape>
            <v:shape style="position:absolute;left:1560;top:2359;width:5917;height:5910" type="#_x0000_t75" stroked="false">
              <v:imagedata r:id="rId23" o:title=""/>
            </v:shape>
            <w10:wrap type="none"/>
          </v:group>
        </w:pict>
      </w:r>
      <w:r>
        <w:rPr>
          <w:color w:val="585858"/>
        </w:rPr>
        <w:t>How could a bundle of project’s TCIPs in combination with a programme TCIP initiate a process for long- term learning, collaboration and management in R&amp;I networks? For this, as a pilot, the model of a Programme and Innovation Management Cycle (PIMC) is suggested.</w:t>
      </w:r>
    </w:p>
    <w:p>
      <w:pPr>
        <w:pStyle w:val="BodyText"/>
      </w:pPr>
    </w:p>
    <w:p>
      <w:pPr>
        <w:pStyle w:val="BodyText"/>
        <w:spacing w:before="5"/>
        <w:rPr>
          <w:sz w:val="17"/>
        </w:rPr>
      </w:pPr>
    </w:p>
    <w:p>
      <w:pPr>
        <w:pStyle w:val="Heading1"/>
        <w:numPr>
          <w:ilvl w:val="0"/>
          <w:numId w:val="2"/>
        </w:numPr>
        <w:tabs>
          <w:tab w:pos="557" w:val="left" w:leader="none"/>
          <w:tab w:pos="559" w:val="left" w:leader="none"/>
        </w:tabs>
        <w:spacing w:line="240" w:lineRule="auto" w:before="0" w:after="0"/>
        <w:ind w:left="558" w:right="0" w:hanging="425"/>
        <w:jc w:val="left"/>
      </w:pPr>
      <w:bookmarkStart w:name="_bookmark2" w:id="6"/>
      <w:bookmarkEnd w:id="6"/>
      <w:r>
        <w:rPr>
          <w:b w:val="0"/>
        </w:rPr>
      </w:r>
      <w:bookmarkStart w:name="_bookmark2" w:id="7"/>
      <w:bookmarkEnd w:id="7"/>
      <w:r>
        <w:rPr>
          <w:color w:val="585858"/>
        </w:rPr>
        <w:t>L</w:t>
      </w:r>
      <w:r>
        <w:rPr>
          <w:color w:val="585858"/>
        </w:rPr>
        <w:t>ong-Term Network Building and Management of</w:t>
      </w:r>
      <w:r>
        <w:rPr>
          <w:color w:val="585858"/>
          <w:spacing w:val="-10"/>
        </w:rPr>
        <w:t> </w:t>
      </w:r>
      <w:r>
        <w:rPr>
          <w:color w:val="585858"/>
        </w:rPr>
        <w:t>Action</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6"/>
        <w:rPr>
          <w:b/>
          <w:sz w:val="36"/>
        </w:rPr>
      </w:pPr>
    </w:p>
    <w:p>
      <w:pPr>
        <w:pStyle w:val="Heading4"/>
        <w:jc w:val="both"/>
      </w:pPr>
      <w:r>
        <w:rPr>
          <w:color w:val="585858"/>
        </w:rPr>
        <w:t>Figure 4: The Programme and Innovation Management Cycle (PIMC)</w:t>
      </w:r>
    </w:p>
    <w:p>
      <w:pPr>
        <w:pStyle w:val="BodyText"/>
        <w:spacing w:before="3"/>
        <w:rPr>
          <w:b/>
          <w:sz w:val="31"/>
        </w:rPr>
      </w:pPr>
    </w:p>
    <w:p>
      <w:pPr>
        <w:pStyle w:val="BodyText"/>
        <w:spacing w:line="259" w:lineRule="auto" w:before="1"/>
        <w:ind w:left="560" w:right="107"/>
        <w:jc w:val="both"/>
      </w:pPr>
      <w:r>
        <w:rPr>
          <w:color w:val="585858"/>
        </w:rPr>
        <w:t>The PIMC is a new universal model in progress that recently has been developed, together with the AU-EU KMCF approach, in ERA-Net Cofund LEAP-Agri. The PIMC will be applied and developed further as a pilot in LEAP4FNSSA (FNSSA stands for Food and Nutrition Security and Sustainable Agriculture) with the same intention like in LEAP-RE, to initiate and maintain an inclusive network of partners in</w:t>
      </w:r>
      <w:r>
        <w:rPr>
          <w:color w:val="585858"/>
          <w:spacing w:val="-14"/>
        </w:rPr>
        <w:t> </w:t>
      </w:r>
      <w:r>
        <w:rPr>
          <w:color w:val="585858"/>
        </w:rPr>
        <w:t>R&amp;I.</w:t>
      </w:r>
    </w:p>
    <w:p>
      <w:pPr>
        <w:pStyle w:val="BodyText"/>
        <w:spacing w:line="259" w:lineRule="auto" w:before="160"/>
        <w:ind w:left="560" w:right="105"/>
        <w:jc w:val="both"/>
      </w:pPr>
      <w:r>
        <w:rPr>
          <w:color w:val="585858"/>
        </w:rPr>
        <w:t>The inclusive PIMC model contributes towards the development of a common understanding of processes which are necessary for network building, agenda setting, effective research uptake towards innovations and the institutionalisation of learning. Furthermore it gives orientation for actors in temporary programmes and long-term strategic cycles like that of funding institutions or the AU-EU HLPD (High Level Policy Dialogue). It describes a joint cycle with actors and activities.</w:t>
      </w:r>
    </w:p>
    <w:p>
      <w:pPr>
        <w:pStyle w:val="BodyText"/>
        <w:spacing w:line="259" w:lineRule="auto" w:before="158"/>
        <w:ind w:left="560" w:right="110"/>
        <w:jc w:val="both"/>
      </w:pPr>
      <w:r>
        <w:rPr>
          <w:color w:val="585858"/>
        </w:rPr>
        <w:t>The advantage of this model is, that actors in programmes could share a common theoretical and practical reference point together with other ‘external actors’ in already ongoing activities in the field of RE.</w:t>
      </w:r>
    </w:p>
    <w:p>
      <w:pPr>
        <w:spacing w:after="0" w:line="259" w:lineRule="auto"/>
        <w:jc w:val="both"/>
        <w:sectPr>
          <w:pgSz w:w="11920" w:h="16850"/>
          <w:pgMar w:header="0" w:footer="803" w:top="960" w:bottom="1280" w:left="1000" w:right="740"/>
        </w:sectPr>
      </w:pPr>
    </w:p>
    <w:p>
      <w:pPr>
        <w:pStyle w:val="BodyText"/>
        <w:spacing w:line="259" w:lineRule="auto" w:before="32"/>
        <w:ind w:left="560" w:right="112"/>
        <w:jc w:val="both"/>
      </w:pPr>
      <w:r>
        <w:rPr>
          <w:color w:val="585858"/>
        </w:rPr>
        <w:t>PIMC in LEAP-RE gives orientation for all network partners involved and is the basis for the organisational design and management of LEAP-RE.</w:t>
      </w:r>
    </w:p>
    <w:p>
      <w:pPr>
        <w:pStyle w:val="BodyText"/>
        <w:spacing w:line="259" w:lineRule="auto" w:before="159"/>
        <w:ind w:left="560" w:right="110"/>
        <w:jc w:val="both"/>
      </w:pPr>
      <w:r>
        <w:rPr/>
        <w:pict>
          <v:group style="position:absolute;margin-left:78pt;margin-top:44.933636pt;width:480.05pt;height:633.15pt;mso-position-horizontal-relative:page;mso-position-vertical-relative:paragraph;z-index:-33784" coordorigin="1560,899" coordsize="9601,12663">
            <v:shape style="position:absolute;left:1990;top:2219;width:8347;height:8898" type="#_x0000_t75" stroked="false">
              <v:imagedata r:id="rId18" o:title=""/>
            </v:shape>
            <v:shape style="position:absolute;left:1560;top:898;width:9601;height:5401" type="#_x0000_t75" stroked="false">
              <v:imagedata r:id="rId24" o:title=""/>
            </v:shape>
            <v:shape style="position:absolute;left:1560;top:8160;width:9601;height:5401" type="#_x0000_t75" stroked="false">
              <v:imagedata r:id="rId25" o:title=""/>
            </v:shape>
            <w10:wrap type="none"/>
          </v:group>
        </w:pict>
      </w:r>
      <w:r>
        <w:rPr>
          <w:color w:val="585858"/>
        </w:rPr>
        <w:t>Following the quadruple helix approach for including actors from the private sector and civil society, academia and policy makers, the partners in a PIMC are manifold (see figure 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30"/>
        </w:rPr>
      </w:pPr>
    </w:p>
    <w:p>
      <w:pPr>
        <w:pStyle w:val="Heading4"/>
        <w:spacing w:before="1"/>
      </w:pPr>
      <w:r>
        <w:rPr>
          <w:color w:val="585858"/>
        </w:rPr>
        <w:t>Figure 5: Network of Actors in RE-Alliances</w:t>
      </w:r>
    </w:p>
    <w:p>
      <w:pPr>
        <w:pStyle w:val="BodyText"/>
        <w:spacing w:before="3"/>
        <w:rPr>
          <w:b/>
          <w:sz w:val="31"/>
        </w:rPr>
      </w:pPr>
    </w:p>
    <w:p>
      <w:pPr>
        <w:pStyle w:val="BodyText"/>
        <w:spacing w:line="259" w:lineRule="auto"/>
        <w:ind w:left="560" w:right="107"/>
        <w:jc w:val="both"/>
      </w:pPr>
      <w:r>
        <w:rPr>
          <w:color w:val="585858"/>
        </w:rPr>
        <w:t>A PIMC works clock-wise. The following descriptions are drafting the four segments in a first  PIMC (PIMC1) in general. The implementation activities in PRE-LEAP-RE (</w:t>
      </w:r>
      <w:r>
        <w:rPr>
          <w:b/>
          <w:color w:val="00991D"/>
        </w:rPr>
        <w:t>in Green lettering</w:t>
      </w:r>
      <w:r>
        <w:rPr>
          <w:color w:val="585858"/>
        </w:rPr>
        <w:t>) and in the coming LEAP-RE (</w:t>
      </w:r>
      <w:r>
        <w:rPr>
          <w:b/>
          <w:color w:val="27A1B7"/>
        </w:rPr>
        <w:t>in Blue lettering</w:t>
      </w:r>
      <w:r>
        <w:rPr>
          <w:color w:val="585858"/>
        </w:rPr>
        <w:t>) and perhaps thereafter will be described also.</w:t>
      </w:r>
    </w:p>
    <w:p>
      <w:pPr>
        <w:spacing w:after="0" w:line="259" w:lineRule="auto"/>
        <w:jc w:val="both"/>
        <w:sectPr>
          <w:pgSz w:w="11920" w:h="16850"/>
          <w:pgMar w:header="0" w:footer="803" w:top="960" w:bottom="1360" w:left="1000" w:right="740"/>
        </w:sectPr>
      </w:pPr>
    </w:p>
    <w:p>
      <w:pPr>
        <w:pStyle w:val="Heading4"/>
        <w:spacing w:before="32"/>
      </w:pPr>
      <w:r>
        <w:rPr/>
        <w:pict>
          <v:group style="position:absolute;margin-left:77.949997pt;margin-top:34.153614pt;width:480.1pt;height:614.050pt;mso-position-horizontal-relative:page;mso-position-vertical-relative:paragraph;z-index:-33760" coordorigin="1559,683" coordsize="9602,12281">
            <v:shape style="position:absolute;left:1990;top:2831;width:8347;height:8898" type="#_x0000_t75" stroked="false">
              <v:imagedata r:id="rId18" o:title=""/>
            </v:shape>
            <v:shape style="position:absolute;left:1559;top:683;width:9601;height:5400" type="#_x0000_t75" stroked="false">
              <v:imagedata r:id="rId26" o:title=""/>
            </v:shape>
            <v:shape style="position:absolute;left:1560;top:7562;width:9601;height:5401" type="#_x0000_t75" stroked="false">
              <v:imagedata r:id="rId27" o:title=""/>
            </v:shape>
            <w10:wrap type="none"/>
          </v:group>
        </w:pict>
      </w:r>
      <w:r>
        <w:rPr>
          <w:color w:val="585858"/>
        </w:rPr>
        <w:t>Figure 6: Characteristics of the four PIMC segments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1"/>
        </w:rPr>
      </w:pPr>
    </w:p>
    <w:p>
      <w:pPr>
        <w:spacing w:before="0"/>
        <w:ind w:left="558" w:right="0" w:firstLine="0"/>
        <w:jc w:val="left"/>
        <w:rPr>
          <w:b/>
          <w:sz w:val="22"/>
        </w:rPr>
      </w:pPr>
      <w:r>
        <w:rPr>
          <w:b/>
          <w:color w:val="585858"/>
          <w:sz w:val="22"/>
        </w:rPr>
        <w:t>Figure 7: Details and levers of the four PIMC segments</w:t>
      </w:r>
    </w:p>
    <w:p>
      <w:pPr>
        <w:pStyle w:val="BodyText"/>
        <w:rPr>
          <w:b/>
        </w:rPr>
      </w:pPr>
    </w:p>
    <w:p>
      <w:pPr>
        <w:pStyle w:val="BodyText"/>
        <w:spacing w:before="1"/>
        <w:rPr>
          <w:b/>
          <w:sz w:val="19"/>
        </w:rPr>
      </w:pPr>
    </w:p>
    <w:p>
      <w:pPr>
        <w:pStyle w:val="ListParagraph"/>
        <w:numPr>
          <w:ilvl w:val="0"/>
          <w:numId w:val="3"/>
        </w:numPr>
        <w:tabs>
          <w:tab w:pos="557" w:val="left" w:leader="none"/>
          <w:tab w:pos="559" w:val="left" w:leader="none"/>
        </w:tabs>
        <w:spacing w:line="240" w:lineRule="auto" w:before="0" w:after="0"/>
        <w:ind w:left="558" w:right="0" w:hanging="425"/>
        <w:jc w:val="left"/>
        <w:rPr>
          <w:b/>
          <w:sz w:val="22"/>
        </w:rPr>
      </w:pPr>
      <w:r>
        <w:rPr>
          <w:b/>
          <w:color w:val="585858"/>
          <w:sz w:val="22"/>
        </w:rPr>
        <w:t>Sorting House</w:t>
      </w:r>
      <w:r>
        <w:rPr>
          <w:b/>
          <w:color w:val="585858"/>
          <w:spacing w:val="-4"/>
          <w:sz w:val="22"/>
        </w:rPr>
        <w:t> </w:t>
      </w:r>
      <w:r>
        <w:rPr>
          <w:b/>
          <w:color w:val="585858"/>
          <w:sz w:val="22"/>
        </w:rPr>
        <w:t>II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
        <w:rPr>
          <w:b/>
          <w:sz w:val="29"/>
        </w:rPr>
      </w:pPr>
    </w:p>
    <w:p>
      <w:pPr>
        <w:spacing w:before="0"/>
        <w:ind w:left="558" w:right="0" w:firstLine="0"/>
        <w:jc w:val="left"/>
        <w:rPr>
          <w:b/>
          <w:sz w:val="22"/>
        </w:rPr>
      </w:pPr>
      <w:r>
        <w:rPr>
          <w:b/>
          <w:color w:val="585858"/>
          <w:sz w:val="22"/>
        </w:rPr>
        <w:t>Figure 6: PIMC Segment 1 | Sorting House II</w:t>
      </w:r>
    </w:p>
    <w:p>
      <w:pPr>
        <w:pStyle w:val="BodyText"/>
        <w:rPr>
          <w:b/>
        </w:rPr>
      </w:pPr>
    </w:p>
    <w:p>
      <w:pPr>
        <w:pStyle w:val="BodyText"/>
        <w:spacing w:before="1"/>
        <w:rPr>
          <w:b/>
          <w:sz w:val="19"/>
        </w:rPr>
      </w:pPr>
    </w:p>
    <w:p>
      <w:pPr>
        <w:pStyle w:val="ListParagraph"/>
        <w:numPr>
          <w:ilvl w:val="0"/>
          <w:numId w:val="3"/>
        </w:numPr>
        <w:tabs>
          <w:tab w:pos="557" w:val="left" w:leader="none"/>
          <w:tab w:pos="559" w:val="left" w:leader="none"/>
        </w:tabs>
        <w:spacing w:line="240" w:lineRule="auto" w:before="1" w:after="0"/>
        <w:ind w:left="558" w:right="0" w:hanging="425"/>
        <w:jc w:val="left"/>
        <w:rPr>
          <w:b/>
          <w:sz w:val="22"/>
        </w:rPr>
      </w:pPr>
      <w:r>
        <w:rPr>
          <w:b/>
          <w:color w:val="585858"/>
          <w:sz w:val="22"/>
        </w:rPr>
        <w:t>Dialogues for</w:t>
      </w:r>
      <w:r>
        <w:rPr>
          <w:b/>
          <w:color w:val="585858"/>
          <w:spacing w:val="-3"/>
          <w:sz w:val="22"/>
        </w:rPr>
        <w:t> </w:t>
      </w:r>
      <w:r>
        <w:rPr>
          <w:b/>
          <w:color w:val="585858"/>
          <w:sz w:val="22"/>
        </w:rPr>
        <w:t>Action</w:t>
      </w:r>
    </w:p>
    <w:p>
      <w:pPr>
        <w:spacing w:after="0" w:line="240" w:lineRule="auto"/>
        <w:jc w:val="left"/>
        <w:rPr>
          <w:sz w:val="22"/>
        </w:rPr>
        <w:sectPr>
          <w:pgSz w:w="11920" w:h="16850"/>
          <w:pgMar w:header="0" w:footer="803" w:top="960" w:bottom="1360" w:left="1000" w:right="7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8"/>
        </w:rPr>
      </w:pPr>
    </w:p>
    <w:p>
      <w:pPr>
        <w:spacing w:before="57"/>
        <w:ind w:left="558" w:right="0" w:firstLine="0"/>
        <w:jc w:val="left"/>
        <w:rPr>
          <w:b/>
          <w:sz w:val="22"/>
        </w:rPr>
      </w:pPr>
      <w:r>
        <w:rPr/>
        <w:pict>
          <v:group style="position:absolute;margin-left:77.949997pt;margin-top:-286.246368pt;width:480.05pt;height:584.85pt;mso-position-horizontal-relative:page;mso-position-vertical-relative:paragraph;z-index:-33736" coordorigin="1559,-5725" coordsize="9601,11697">
            <v:shape style="position:absolute;left:1990;top:-2926;width:8347;height:8898" type="#_x0000_t75" stroked="false">
              <v:imagedata r:id="rId18" o:title=""/>
            </v:shape>
            <v:shape style="position:absolute;left:1559;top:-5725;width:9601;height:5401" type="#_x0000_t75" stroked="false">
              <v:imagedata r:id="rId28" o:title=""/>
            </v:shape>
            <w10:wrap type="none"/>
          </v:group>
        </w:pict>
      </w:r>
      <w:r>
        <w:rPr>
          <w:b/>
          <w:color w:val="585858"/>
          <w:sz w:val="22"/>
        </w:rPr>
        <w:t>Figure 7: PIMC Segment 2 | Dialogues for Action</w:t>
      </w:r>
    </w:p>
    <w:p>
      <w:pPr>
        <w:pStyle w:val="BodyText"/>
        <w:spacing w:before="3"/>
        <w:rPr>
          <w:b/>
          <w:sz w:val="31"/>
        </w:rPr>
      </w:pPr>
    </w:p>
    <w:p>
      <w:pPr>
        <w:pStyle w:val="BodyText"/>
        <w:spacing w:line="259" w:lineRule="auto"/>
        <w:ind w:left="560" w:right="104"/>
        <w:jc w:val="both"/>
      </w:pPr>
      <w:r>
        <w:rPr>
          <w:color w:val="585858"/>
        </w:rPr>
        <w:t>In the second segment of the PIMC1, ‘Dialogues for Action’ a TCIP for a PIMC will be developed in the frame of dialogues with relevant partners following the quadruple helix approach. Partners, funds and resources for research action will have to be involved and mobilised. In these dialogues different partner’s agendas will have to be harmonised towards a joint programming for implementing research towards innovation. For managing the joint programming one or more secretariats will have to be established.  One Coordination Secretariat - CoSe - for managing and coordinating the LEAP-RE network (see #2 </w:t>
      </w:r>
      <w:r>
        <w:rPr>
          <w:color w:val="585858"/>
          <w:spacing w:val="-3"/>
        </w:rPr>
        <w:t>BP </w:t>
      </w:r>
      <w:r>
        <w:rPr>
          <w:color w:val="585858"/>
        </w:rPr>
        <w:t>Funding &amp; Private Sector) and furthermore, if it is not the role of the CoSe to organise calls, specific Call Secretariat(s) - CS – could be considered. It is already intended to develop and maintain a secretariat concept including the digital basis (website, data base and/or linkages to existing data bases) as a long- term infrastructure for the time after the</w:t>
      </w:r>
      <w:r>
        <w:rPr>
          <w:color w:val="585858"/>
          <w:spacing w:val="-8"/>
        </w:rPr>
        <w:t> </w:t>
      </w:r>
      <w:r>
        <w:rPr>
          <w:color w:val="585858"/>
        </w:rPr>
        <w:t>LEAP-RE.</w:t>
      </w:r>
    </w:p>
    <w:p>
      <w:pPr>
        <w:pStyle w:val="BodyText"/>
        <w:spacing w:line="259" w:lineRule="auto" w:before="158"/>
        <w:ind w:left="560" w:right="103"/>
        <w:jc w:val="both"/>
      </w:pPr>
      <w:r>
        <w:rPr>
          <w:color w:val="585858"/>
        </w:rPr>
        <w:t>This second segment of the PIMC1 will end with the availability of the research outputs. This might be likely already after 4 years and coincides perhaps also with the end of LEAP-RE. The researchers will have been requested to develop and implement a concept for dissemination and communication of research results in their respective projects. The LEAP-RE consortium will meet to continue with the PIMC 1 in segment 3, whether as a project consortium or already as a project independent network.</w:t>
      </w:r>
    </w:p>
    <w:p>
      <w:pPr>
        <w:pStyle w:val="BodyText"/>
      </w:pPr>
    </w:p>
    <w:p>
      <w:pPr>
        <w:pStyle w:val="BodyText"/>
        <w:spacing w:before="11"/>
        <w:rPr>
          <w:sz w:val="27"/>
        </w:rPr>
      </w:pPr>
    </w:p>
    <w:p>
      <w:pPr>
        <w:pStyle w:val="Heading4"/>
        <w:ind w:left="493"/>
      </w:pPr>
      <w:r>
        <w:rPr>
          <w:rFonts w:ascii="Wingdings 3" w:hAnsi="Wingdings 3"/>
          <w:b w:val="0"/>
          <w:color w:val="00991D"/>
        </w:rPr>
        <w:t></w:t>
      </w:r>
      <w:r>
        <w:rPr>
          <w:rFonts w:ascii="Times New Roman" w:hAnsi="Times New Roman"/>
          <w:b w:val="0"/>
          <w:color w:val="00991D"/>
        </w:rPr>
        <w:t> </w:t>
      </w:r>
      <w:r>
        <w:rPr>
          <w:color w:val="00991D"/>
        </w:rPr>
        <w:t>PRE-LEAP-RE activities 2018/2019:</w:t>
      </w:r>
    </w:p>
    <w:p>
      <w:pPr>
        <w:pStyle w:val="ListParagraph"/>
        <w:numPr>
          <w:ilvl w:val="0"/>
          <w:numId w:val="4"/>
        </w:numPr>
        <w:tabs>
          <w:tab w:pos="986" w:val="left" w:leader="none"/>
        </w:tabs>
        <w:spacing w:line="259" w:lineRule="auto" w:before="22" w:after="0"/>
        <w:ind w:left="985" w:right="105" w:hanging="144"/>
        <w:jc w:val="both"/>
        <w:rPr>
          <w:color w:val="00991D"/>
          <w:sz w:val="22"/>
        </w:rPr>
      </w:pPr>
      <w:r>
        <w:rPr>
          <w:color w:val="00991D"/>
          <w:sz w:val="22"/>
        </w:rPr>
        <w:t>Ecosystem analysis and identification of collaboration opportunities (including the results of the Ecorys study and the work of the African Europe Energy Partnership (AEEP) and in particular in its RECP programme).</w:t>
      </w:r>
    </w:p>
    <w:p>
      <w:pPr>
        <w:pStyle w:val="ListParagraph"/>
        <w:numPr>
          <w:ilvl w:val="0"/>
          <w:numId w:val="4"/>
        </w:numPr>
        <w:tabs>
          <w:tab w:pos="986" w:val="left" w:leader="none"/>
        </w:tabs>
        <w:spacing w:line="267" w:lineRule="exact" w:before="0" w:after="0"/>
        <w:ind w:left="985" w:right="0" w:hanging="144"/>
        <w:jc w:val="left"/>
        <w:rPr>
          <w:color w:val="00991D"/>
          <w:sz w:val="22"/>
        </w:rPr>
      </w:pPr>
      <w:r>
        <w:rPr>
          <w:color w:val="00991D"/>
          <w:sz w:val="22"/>
        </w:rPr>
        <w:t>Development, together with potential LEAP-RE partners and associated partners,</w:t>
      </w:r>
      <w:r>
        <w:rPr>
          <w:color w:val="00991D"/>
          <w:spacing w:val="-18"/>
          <w:sz w:val="22"/>
        </w:rPr>
        <w:t> </w:t>
      </w:r>
      <w:r>
        <w:rPr>
          <w:color w:val="00991D"/>
          <w:sz w:val="22"/>
        </w:rPr>
        <w:t>of</w:t>
      </w:r>
    </w:p>
    <w:p>
      <w:pPr>
        <w:pStyle w:val="ListParagraph"/>
        <w:numPr>
          <w:ilvl w:val="1"/>
          <w:numId w:val="3"/>
        </w:numPr>
        <w:tabs>
          <w:tab w:pos="1266" w:val="left" w:leader="none"/>
        </w:tabs>
        <w:spacing w:line="240" w:lineRule="auto" w:before="22" w:after="0"/>
        <w:ind w:left="1266" w:right="0" w:hanging="281"/>
        <w:jc w:val="left"/>
        <w:rPr>
          <w:color w:val="00991D"/>
          <w:sz w:val="22"/>
        </w:rPr>
      </w:pPr>
      <w:r>
        <w:rPr>
          <w:color w:val="00991D"/>
          <w:sz w:val="22"/>
        </w:rPr>
        <w:t>TCIP1 for</w:t>
      </w:r>
      <w:r>
        <w:rPr>
          <w:color w:val="00991D"/>
          <w:spacing w:val="-1"/>
          <w:sz w:val="22"/>
        </w:rPr>
        <w:t> </w:t>
      </w:r>
      <w:r>
        <w:rPr>
          <w:color w:val="00991D"/>
          <w:sz w:val="22"/>
        </w:rPr>
        <w:t>PIMC1</w:t>
      </w:r>
    </w:p>
    <w:p>
      <w:pPr>
        <w:pStyle w:val="ListParagraph"/>
        <w:numPr>
          <w:ilvl w:val="1"/>
          <w:numId w:val="3"/>
        </w:numPr>
        <w:tabs>
          <w:tab w:pos="1266" w:val="left" w:leader="none"/>
        </w:tabs>
        <w:spacing w:line="240" w:lineRule="auto" w:before="20" w:after="0"/>
        <w:ind w:left="1266" w:right="0" w:hanging="281"/>
        <w:jc w:val="left"/>
        <w:rPr>
          <w:color w:val="00991D"/>
          <w:sz w:val="22"/>
        </w:rPr>
      </w:pPr>
      <w:r>
        <w:rPr>
          <w:color w:val="00991D"/>
          <w:sz w:val="22"/>
        </w:rPr>
        <w:t>PIMC1 Multi-Annual</w:t>
      </w:r>
      <w:r>
        <w:rPr>
          <w:color w:val="00991D"/>
          <w:spacing w:val="-2"/>
          <w:sz w:val="22"/>
        </w:rPr>
        <w:t> </w:t>
      </w:r>
      <w:r>
        <w:rPr>
          <w:color w:val="00991D"/>
          <w:sz w:val="22"/>
        </w:rPr>
        <w:t>Roadmaps</w:t>
      </w:r>
    </w:p>
    <w:p>
      <w:pPr>
        <w:pStyle w:val="ListParagraph"/>
        <w:numPr>
          <w:ilvl w:val="1"/>
          <w:numId w:val="3"/>
        </w:numPr>
        <w:tabs>
          <w:tab w:pos="1266" w:val="left" w:leader="none"/>
        </w:tabs>
        <w:spacing w:line="240" w:lineRule="auto" w:before="21" w:after="0"/>
        <w:ind w:left="1266" w:right="0" w:hanging="281"/>
        <w:jc w:val="left"/>
        <w:rPr>
          <w:color w:val="00991D"/>
          <w:sz w:val="22"/>
        </w:rPr>
      </w:pPr>
      <w:r>
        <w:rPr>
          <w:color w:val="00991D"/>
          <w:sz w:val="22"/>
        </w:rPr>
        <w:t>PIMC1 organisation and funding principles will be</w:t>
      </w:r>
      <w:r>
        <w:rPr>
          <w:color w:val="00991D"/>
          <w:spacing w:val="-4"/>
          <w:sz w:val="22"/>
        </w:rPr>
        <w:t> </w:t>
      </w:r>
      <w:r>
        <w:rPr>
          <w:color w:val="00991D"/>
          <w:sz w:val="22"/>
        </w:rPr>
        <w:t>developed</w:t>
      </w:r>
    </w:p>
    <w:p>
      <w:pPr>
        <w:pStyle w:val="ListParagraph"/>
        <w:numPr>
          <w:ilvl w:val="1"/>
          <w:numId w:val="3"/>
        </w:numPr>
        <w:tabs>
          <w:tab w:pos="1266" w:val="left" w:leader="none"/>
        </w:tabs>
        <w:spacing w:line="240" w:lineRule="auto" w:before="22" w:after="0"/>
        <w:ind w:left="1266" w:right="0" w:hanging="281"/>
        <w:jc w:val="left"/>
        <w:rPr>
          <w:color w:val="00991D"/>
          <w:sz w:val="22"/>
        </w:rPr>
      </w:pPr>
      <w:r>
        <w:rPr>
          <w:color w:val="00991D"/>
          <w:sz w:val="22"/>
        </w:rPr>
        <w:t>PIMC1 M&amp;E framework and tools (project &amp; programme level) will be</w:t>
      </w:r>
      <w:r>
        <w:rPr>
          <w:color w:val="00991D"/>
          <w:spacing w:val="-9"/>
          <w:sz w:val="22"/>
        </w:rPr>
        <w:t> </w:t>
      </w:r>
      <w:r>
        <w:rPr>
          <w:color w:val="00991D"/>
          <w:sz w:val="22"/>
        </w:rPr>
        <w:t>developed</w:t>
      </w:r>
    </w:p>
    <w:p>
      <w:pPr>
        <w:pStyle w:val="ListParagraph"/>
        <w:numPr>
          <w:ilvl w:val="1"/>
          <w:numId w:val="3"/>
        </w:numPr>
        <w:tabs>
          <w:tab w:pos="1266" w:val="left" w:leader="none"/>
        </w:tabs>
        <w:spacing w:line="240" w:lineRule="auto" w:before="22" w:after="0"/>
        <w:ind w:left="1266" w:right="0" w:hanging="281"/>
        <w:jc w:val="left"/>
        <w:rPr>
          <w:color w:val="00991D"/>
          <w:sz w:val="22"/>
        </w:rPr>
      </w:pPr>
      <w:r>
        <w:rPr>
          <w:color w:val="00991D"/>
          <w:sz w:val="22"/>
        </w:rPr>
        <w:t>LEAP-RE knowledge management and communication concept for a LEAP-RE</w:t>
      </w:r>
      <w:r>
        <w:rPr>
          <w:color w:val="00991D"/>
          <w:spacing w:val="-12"/>
          <w:sz w:val="22"/>
        </w:rPr>
        <w:t> </w:t>
      </w:r>
      <w:r>
        <w:rPr>
          <w:color w:val="00991D"/>
          <w:sz w:val="22"/>
        </w:rPr>
        <w:t>infrastructure</w:t>
      </w:r>
    </w:p>
    <w:p>
      <w:pPr>
        <w:spacing w:after="0" w:line="240" w:lineRule="auto"/>
        <w:jc w:val="left"/>
        <w:rPr>
          <w:sz w:val="22"/>
        </w:rPr>
        <w:sectPr>
          <w:pgSz w:w="11920" w:h="16850"/>
          <w:pgMar w:header="0" w:footer="803" w:top="1000" w:bottom="1340" w:left="1000" w:right="740"/>
        </w:sectPr>
      </w:pPr>
    </w:p>
    <w:p>
      <w:pPr>
        <w:pStyle w:val="ListParagraph"/>
        <w:numPr>
          <w:ilvl w:val="2"/>
          <w:numId w:val="3"/>
        </w:numPr>
        <w:tabs>
          <w:tab w:pos="1410" w:val="left" w:leader="none"/>
        </w:tabs>
        <w:spacing w:line="259" w:lineRule="auto" w:before="32" w:after="0"/>
        <w:ind w:left="1410" w:right="109" w:hanging="144"/>
        <w:jc w:val="both"/>
        <w:rPr>
          <w:sz w:val="22"/>
        </w:rPr>
      </w:pPr>
      <w:r>
        <w:rPr>
          <w:color w:val="00991D"/>
          <w:sz w:val="22"/>
        </w:rPr>
        <w:t>Round tables and two workshops with potential LEAP-RE partners (selection of participants will be based on the PRE-LEAP-RE meta-analysis) to develop the RIA and</w:t>
      </w:r>
      <w:r>
        <w:rPr>
          <w:color w:val="00991D"/>
          <w:spacing w:val="-17"/>
          <w:sz w:val="22"/>
        </w:rPr>
        <w:t> </w:t>
      </w:r>
      <w:r>
        <w:rPr>
          <w:color w:val="00991D"/>
          <w:sz w:val="22"/>
        </w:rPr>
        <w:t>PIMC1</w:t>
      </w:r>
    </w:p>
    <w:p>
      <w:pPr>
        <w:pStyle w:val="ListParagraph"/>
        <w:numPr>
          <w:ilvl w:val="2"/>
          <w:numId w:val="3"/>
        </w:numPr>
        <w:tabs>
          <w:tab w:pos="1410" w:val="left" w:leader="none"/>
        </w:tabs>
        <w:spacing w:line="267" w:lineRule="exact" w:before="0" w:after="0"/>
        <w:ind w:left="1410" w:right="0" w:hanging="144"/>
        <w:jc w:val="left"/>
        <w:rPr>
          <w:sz w:val="22"/>
        </w:rPr>
      </w:pPr>
      <w:r>
        <w:rPr>
          <w:color w:val="00991D"/>
          <w:sz w:val="22"/>
        </w:rPr>
        <w:t>Communication with stakeholders via website and other information</w:t>
      </w:r>
      <w:r>
        <w:rPr>
          <w:color w:val="00991D"/>
          <w:spacing w:val="-11"/>
          <w:sz w:val="22"/>
        </w:rPr>
        <w:t> </w:t>
      </w:r>
      <w:r>
        <w:rPr>
          <w:color w:val="00991D"/>
          <w:sz w:val="22"/>
        </w:rPr>
        <w:t>channels</w:t>
      </w:r>
    </w:p>
    <w:p>
      <w:pPr>
        <w:pStyle w:val="ListParagraph"/>
        <w:numPr>
          <w:ilvl w:val="2"/>
          <w:numId w:val="3"/>
        </w:numPr>
        <w:tabs>
          <w:tab w:pos="1410" w:val="left" w:leader="none"/>
        </w:tabs>
        <w:spacing w:line="259" w:lineRule="auto" w:before="22" w:after="0"/>
        <w:ind w:left="1410" w:right="107" w:hanging="144"/>
        <w:jc w:val="both"/>
        <w:rPr>
          <w:sz w:val="22"/>
        </w:rPr>
      </w:pPr>
      <w:r>
        <w:rPr>
          <w:color w:val="00991D"/>
          <w:sz w:val="22"/>
        </w:rPr>
        <w:t>Forming one or more research alliances and one or more interdisciplinary and inter-sectoral alliances to be framed by LEAP-RE (PRE-LEAP-RE will built on existing alliances such as the European Energy Research Alliance – EERA, which is already a consortium</w:t>
      </w:r>
      <w:r>
        <w:rPr>
          <w:color w:val="00991D"/>
          <w:spacing w:val="-14"/>
          <w:sz w:val="22"/>
        </w:rPr>
        <w:t> </w:t>
      </w:r>
      <w:r>
        <w:rPr>
          <w:color w:val="00991D"/>
          <w:sz w:val="22"/>
        </w:rPr>
        <w:t>partner)</w:t>
      </w:r>
    </w:p>
    <w:p>
      <w:pPr>
        <w:pStyle w:val="ListParagraph"/>
        <w:numPr>
          <w:ilvl w:val="2"/>
          <w:numId w:val="3"/>
        </w:numPr>
        <w:tabs>
          <w:tab w:pos="1410" w:val="left" w:leader="none"/>
        </w:tabs>
        <w:spacing w:line="259" w:lineRule="auto" w:before="0" w:after="0"/>
        <w:ind w:left="1410" w:right="113" w:hanging="144"/>
        <w:jc w:val="both"/>
        <w:rPr>
          <w:sz w:val="22"/>
        </w:rPr>
      </w:pPr>
      <w:r>
        <w:rPr>
          <w:color w:val="00991D"/>
          <w:sz w:val="22"/>
        </w:rPr>
        <w:t>Preparations and forming a team for the EJP proposal writing and identification of a coordinator or two co-coordinators (one African and one European) for</w:t>
      </w:r>
      <w:r>
        <w:rPr>
          <w:color w:val="00991D"/>
          <w:spacing w:val="-9"/>
          <w:sz w:val="22"/>
        </w:rPr>
        <w:t> </w:t>
      </w:r>
      <w:r>
        <w:rPr>
          <w:color w:val="00991D"/>
          <w:sz w:val="22"/>
        </w:rPr>
        <w:t>LEAP-RE</w:t>
      </w:r>
    </w:p>
    <w:p>
      <w:pPr>
        <w:pStyle w:val="BodyText"/>
        <w:spacing w:before="9"/>
        <w:rPr>
          <w:sz w:val="23"/>
        </w:rPr>
      </w:pPr>
    </w:p>
    <w:p>
      <w:pPr>
        <w:pStyle w:val="Heading4"/>
        <w:ind w:left="493"/>
      </w:pPr>
      <w:r>
        <w:rPr/>
        <w:drawing>
          <wp:anchor distT="0" distB="0" distL="0" distR="0" allowOverlap="1" layoutInCell="1" locked="0" behindDoc="1" simplePos="0" relativeHeight="268401743">
            <wp:simplePos x="0" y="0"/>
            <wp:positionH relativeFrom="page">
              <wp:posOffset>1264019</wp:posOffset>
            </wp:positionH>
            <wp:positionV relativeFrom="paragraph">
              <wp:posOffset>120950</wp:posOffset>
            </wp:positionV>
            <wp:extent cx="5299721" cy="5650134"/>
            <wp:effectExtent l="0" t="0" r="0" b="0"/>
            <wp:wrapNone/>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18" cstate="print"/>
                    <a:stretch>
                      <a:fillRect/>
                    </a:stretch>
                  </pic:blipFill>
                  <pic:spPr>
                    <a:xfrm>
                      <a:off x="0" y="0"/>
                      <a:ext cx="5299721" cy="5650134"/>
                    </a:xfrm>
                    <a:prstGeom prst="rect">
                      <a:avLst/>
                    </a:prstGeom>
                  </pic:spPr>
                </pic:pic>
              </a:graphicData>
            </a:graphic>
          </wp:anchor>
        </w:drawing>
      </w:r>
      <w:r>
        <w:rPr>
          <w:rFonts w:ascii="Wingdings 3" w:hAnsi="Wingdings 3"/>
          <w:b w:val="0"/>
          <w:color w:val="27A1B7"/>
        </w:rPr>
        <w:t></w:t>
      </w:r>
      <w:r>
        <w:rPr>
          <w:rFonts w:ascii="Times New Roman" w:hAnsi="Times New Roman"/>
          <w:b w:val="0"/>
          <w:color w:val="27A1B7"/>
        </w:rPr>
        <w:t> </w:t>
      </w:r>
      <w:r>
        <w:rPr>
          <w:color w:val="27A1B7"/>
        </w:rPr>
        <w:t>Pre-identified LEAP-RE activities (2020 and following):</w:t>
      </w:r>
    </w:p>
    <w:p>
      <w:pPr>
        <w:pStyle w:val="ListParagraph"/>
        <w:numPr>
          <w:ilvl w:val="0"/>
          <w:numId w:val="4"/>
        </w:numPr>
        <w:tabs>
          <w:tab w:pos="986" w:val="left" w:leader="none"/>
        </w:tabs>
        <w:spacing w:line="259" w:lineRule="auto" w:before="19" w:after="0"/>
        <w:ind w:left="985" w:right="105" w:hanging="144"/>
        <w:jc w:val="both"/>
        <w:rPr>
          <w:color w:val="27A1B7"/>
          <w:sz w:val="22"/>
        </w:rPr>
      </w:pPr>
      <w:r>
        <w:rPr>
          <w:color w:val="27A1B7"/>
          <w:sz w:val="22"/>
        </w:rPr>
        <w:t>Establishing the TCIP as an instrument for research projects combined with the obligation to develop concrete individual communication methods, technologies and actions plans (validated by end-users) for research uptake in each respective research project as well as for LEAP-RE as a</w:t>
      </w:r>
      <w:r>
        <w:rPr>
          <w:color w:val="27A1B7"/>
          <w:spacing w:val="-18"/>
          <w:sz w:val="22"/>
        </w:rPr>
        <w:t> </w:t>
      </w:r>
      <w:r>
        <w:rPr>
          <w:color w:val="27A1B7"/>
          <w:sz w:val="22"/>
        </w:rPr>
        <w:t>whole.</w:t>
      </w:r>
    </w:p>
    <w:p>
      <w:pPr>
        <w:pStyle w:val="ListParagraph"/>
        <w:numPr>
          <w:ilvl w:val="0"/>
          <w:numId w:val="4"/>
        </w:numPr>
        <w:tabs>
          <w:tab w:pos="986" w:val="left" w:leader="none"/>
        </w:tabs>
        <w:spacing w:line="259" w:lineRule="auto" w:before="2" w:after="0"/>
        <w:ind w:left="985" w:right="104" w:hanging="144"/>
        <w:jc w:val="both"/>
        <w:rPr>
          <w:color w:val="27A1B7"/>
          <w:sz w:val="22"/>
        </w:rPr>
      </w:pPr>
      <w:r>
        <w:rPr>
          <w:color w:val="27A1B7"/>
          <w:sz w:val="22"/>
        </w:rPr>
        <w:t>Establishment and development of a sustainable model of practical management modules, like a co- coordination team organised in a CoSe, including a communication strategy and modules which shall support Sorting House I and Sorting House II, as well as one or more call secretariat(s), and furthermore different work packages during PIMC 1. This model will serve at the same time as a draft for future PIMCs and a vital RE-network and includes a sustainable funding scheme. The modular character would have to allow changing responsibilities in coming PIMCs, like periodically changing co-coordinators in</w:t>
      </w:r>
      <w:r>
        <w:rPr>
          <w:color w:val="27A1B7"/>
          <w:spacing w:val="-3"/>
          <w:sz w:val="22"/>
        </w:rPr>
        <w:t> </w:t>
      </w:r>
      <w:r>
        <w:rPr>
          <w:color w:val="27A1B7"/>
          <w:sz w:val="22"/>
        </w:rPr>
        <w:t>CoSes.</w:t>
      </w:r>
    </w:p>
    <w:p>
      <w:pPr>
        <w:pStyle w:val="ListParagraph"/>
        <w:numPr>
          <w:ilvl w:val="0"/>
          <w:numId w:val="4"/>
        </w:numPr>
        <w:tabs>
          <w:tab w:pos="986" w:val="left" w:leader="none"/>
        </w:tabs>
        <w:spacing w:line="259" w:lineRule="auto" w:before="0" w:after="0"/>
        <w:ind w:left="985" w:right="108" w:hanging="144"/>
        <w:jc w:val="both"/>
        <w:rPr>
          <w:color w:val="27A1B7"/>
          <w:sz w:val="22"/>
        </w:rPr>
      </w:pPr>
      <w:r>
        <w:rPr>
          <w:color w:val="27A1B7"/>
          <w:sz w:val="22"/>
        </w:rPr>
        <w:t>Implementation of research activities (along agreed options, e.g. via open calls for proposals addressing also external researchers (=non-LEAP-RE consortium members) and/or research on agreed fields of research with LEAP-RE consortium members and possibly associated</w:t>
      </w:r>
      <w:r>
        <w:rPr>
          <w:color w:val="27A1B7"/>
          <w:spacing w:val="-19"/>
          <w:sz w:val="22"/>
        </w:rPr>
        <w:t> </w:t>
      </w:r>
      <w:r>
        <w:rPr>
          <w:color w:val="27A1B7"/>
          <w:sz w:val="22"/>
        </w:rPr>
        <w:t>partners).</w:t>
      </w:r>
    </w:p>
    <w:p>
      <w:pPr>
        <w:pStyle w:val="ListParagraph"/>
        <w:numPr>
          <w:ilvl w:val="0"/>
          <w:numId w:val="4"/>
        </w:numPr>
        <w:tabs>
          <w:tab w:pos="986" w:val="left" w:leader="none"/>
        </w:tabs>
        <w:spacing w:line="259" w:lineRule="auto" w:before="0" w:after="0"/>
        <w:ind w:left="985" w:right="107" w:hanging="144"/>
        <w:jc w:val="both"/>
        <w:rPr>
          <w:color w:val="27A1B7"/>
          <w:sz w:val="22"/>
        </w:rPr>
      </w:pPr>
      <w:r>
        <w:rPr>
          <w:color w:val="27A1B7"/>
          <w:sz w:val="22"/>
        </w:rPr>
        <w:t>Forming a group of experts for Sorting House I and Sorting House II and a communication concept for both Sorting</w:t>
      </w:r>
      <w:r>
        <w:rPr>
          <w:color w:val="27A1B7"/>
          <w:spacing w:val="-2"/>
          <w:sz w:val="22"/>
        </w:rPr>
        <w:t> </w:t>
      </w:r>
      <w:r>
        <w:rPr>
          <w:color w:val="27A1B7"/>
          <w:sz w:val="22"/>
        </w:rPr>
        <w:t>Houses.</w:t>
      </w:r>
    </w:p>
    <w:p>
      <w:pPr>
        <w:pStyle w:val="ListParagraph"/>
        <w:numPr>
          <w:ilvl w:val="0"/>
          <w:numId w:val="4"/>
        </w:numPr>
        <w:tabs>
          <w:tab w:pos="986" w:val="left" w:leader="none"/>
        </w:tabs>
        <w:spacing w:line="259" w:lineRule="auto" w:before="0" w:after="0"/>
        <w:ind w:left="985" w:right="105" w:hanging="144"/>
        <w:jc w:val="both"/>
        <w:rPr>
          <w:color w:val="27A1B7"/>
          <w:sz w:val="22"/>
        </w:rPr>
      </w:pPr>
      <w:r>
        <w:rPr>
          <w:color w:val="27A1B7"/>
          <w:sz w:val="22"/>
        </w:rPr>
        <w:t>Forming a group of experts for Sorting House I (Segment 3 of the PIMC1) and Sorting House II (Segment 1 of the PIMC) and designing a communication concept (including knowledge management and communication methods and technologies) for the system improvement (the activities in segment 4 of the</w:t>
      </w:r>
      <w:r>
        <w:rPr>
          <w:color w:val="27A1B7"/>
          <w:spacing w:val="-6"/>
          <w:sz w:val="22"/>
        </w:rPr>
        <w:t> </w:t>
      </w:r>
      <w:r>
        <w:rPr>
          <w:color w:val="27A1B7"/>
          <w:sz w:val="22"/>
        </w:rPr>
        <w:t>PIMC1).</w:t>
      </w:r>
    </w:p>
    <w:p>
      <w:pPr>
        <w:pStyle w:val="ListParagraph"/>
        <w:numPr>
          <w:ilvl w:val="0"/>
          <w:numId w:val="4"/>
        </w:numPr>
        <w:tabs>
          <w:tab w:pos="986" w:val="left" w:leader="none"/>
        </w:tabs>
        <w:spacing w:line="256" w:lineRule="auto" w:before="0" w:after="0"/>
        <w:ind w:left="985" w:right="112" w:hanging="144"/>
        <w:jc w:val="both"/>
        <w:rPr>
          <w:color w:val="27A1B7"/>
          <w:sz w:val="22"/>
        </w:rPr>
      </w:pPr>
      <w:r>
        <w:rPr>
          <w:color w:val="27A1B7"/>
          <w:sz w:val="22"/>
        </w:rPr>
        <w:t>Forming a group of existing data base managers for linking already existing data bases in the field of RE</w:t>
      </w:r>
    </w:p>
    <w:p>
      <w:pPr>
        <w:pStyle w:val="BodyText"/>
      </w:pPr>
    </w:p>
    <w:p>
      <w:pPr>
        <w:pStyle w:val="BodyText"/>
        <w:spacing w:before="11"/>
        <w:rPr>
          <w:sz w:val="27"/>
        </w:rPr>
      </w:pPr>
    </w:p>
    <w:p>
      <w:pPr>
        <w:pStyle w:val="Heading4"/>
        <w:numPr>
          <w:ilvl w:val="0"/>
          <w:numId w:val="3"/>
        </w:numPr>
        <w:tabs>
          <w:tab w:pos="557" w:val="left" w:leader="none"/>
          <w:tab w:pos="559" w:val="left" w:leader="none"/>
        </w:tabs>
        <w:spacing w:line="240" w:lineRule="auto" w:before="1" w:after="0"/>
        <w:ind w:left="558" w:right="0" w:hanging="425"/>
        <w:jc w:val="left"/>
      </w:pPr>
      <w:r>
        <w:rPr>
          <w:color w:val="585858"/>
        </w:rPr>
        <w:t>Sorting House I | Translating science recommendations for</w:t>
      </w:r>
      <w:r>
        <w:rPr>
          <w:color w:val="585858"/>
          <w:spacing w:val="-10"/>
        </w:rPr>
        <w:t> </w:t>
      </w:r>
      <w:r>
        <w:rPr>
          <w:color w:val="585858"/>
        </w:rPr>
        <w:t>practice</w:t>
      </w:r>
    </w:p>
    <w:p>
      <w:pPr>
        <w:spacing w:after="0" w:line="240" w:lineRule="auto"/>
        <w:jc w:val="left"/>
        <w:sectPr>
          <w:pgSz w:w="11920" w:h="16850"/>
          <w:pgMar w:header="0" w:footer="803" w:top="960" w:bottom="1360" w:left="1000" w:right="7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8"/>
        </w:rPr>
      </w:pPr>
    </w:p>
    <w:p>
      <w:pPr>
        <w:spacing w:before="57"/>
        <w:ind w:left="558" w:right="0" w:firstLine="0"/>
        <w:jc w:val="left"/>
        <w:rPr>
          <w:b/>
          <w:sz w:val="22"/>
        </w:rPr>
      </w:pPr>
      <w:r>
        <w:rPr/>
        <w:pict>
          <v:group style="position:absolute;margin-left:70.900002pt;margin-top:-268.246368pt;width:480.05pt;height:584.85pt;mso-position-horizontal-relative:page;mso-position-vertical-relative:paragraph;z-index:-33688" coordorigin="1418,-5365" coordsize="9601,11697">
            <v:shape style="position:absolute;left:1990;top:-2566;width:8347;height:8898" type="#_x0000_t75" stroked="false">
              <v:imagedata r:id="rId18" o:title=""/>
            </v:shape>
            <v:shape style="position:absolute;left:1418;top:-5365;width:9601;height:5401" type="#_x0000_t75" stroked="false">
              <v:imagedata r:id="rId29" o:title=""/>
            </v:shape>
            <w10:wrap type="none"/>
          </v:group>
        </w:pict>
      </w:r>
      <w:r>
        <w:rPr>
          <w:b/>
          <w:color w:val="585858"/>
          <w:sz w:val="22"/>
        </w:rPr>
        <w:t>Figure 8: PIMC Segment 3 | Sorting House I</w:t>
      </w:r>
    </w:p>
    <w:p>
      <w:pPr>
        <w:pStyle w:val="BodyText"/>
        <w:spacing w:before="3"/>
        <w:rPr>
          <w:b/>
          <w:sz w:val="31"/>
        </w:rPr>
      </w:pPr>
    </w:p>
    <w:p>
      <w:pPr>
        <w:pStyle w:val="BodyText"/>
        <w:ind w:left="560"/>
      </w:pPr>
      <w:r>
        <w:rPr>
          <w:color w:val="585858"/>
        </w:rPr>
        <w:t>Sorting House I is the third segment of the PIMC1 and forms the interface between</w:t>
      </w:r>
    </w:p>
    <w:p>
      <w:pPr>
        <w:pStyle w:val="BodyText"/>
        <w:spacing w:line="259" w:lineRule="auto" w:before="180"/>
        <w:ind w:left="560" w:right="108"/>
        <w:jc w:val="both"/>
      </w:pPr>
      <w:r>
        <w:rPr>
          <w:color w:val="585858"/>
        </w:rPr>
        <w:t>Dialogues for Action (segment 2) and the activities in segment 4, in which the improvement of RE-systems are intended. The time frame for this segment might be half a year.</w:t>
      </w:r>
    </w:p>
    <w:p>
      <w:pPr>
        <w:pStyle w:val="BodyText"/>
        <w:spacing w:line="259" w:lineRule="auto" w:before="160"/>
        <w:ind w:left="560" w:right="107"/>
        <w:jc w:val="both"/>
      </w:pPr>
      <w:r>
        <w:rPr>
          <w:color w:val="585858"/>
        </w:rPr>
        <w:t>The experts in Sorting House I will conduct the first reflection process about the TCIP 1. Furthermore, </w:t>
      </w:r>
      <w:r>
        <w:rPr>
          <w:color w:val="585858"/>
          <w:spacing w:val="-2"/>
        </w:rPr>
        <w:t>the </w:t>
      </w:r>
      <w:r>
        <w:rPr>
          <w:color w:val="585858"/>
        </w:rPr>
        <w:t>reformatting of science based recommendations for action and  dialogues with target groups will be one of the major tasks here. This will include not only the research output funded by LEAP-RE, but also other research output from outside of the LEAP-RE programme. A communication concept for the science recommendations, also as a blue print for coming future PIMCs, will have been developed in LEAP-RE in segment 2 and implemented in Sorting House</w:t>
      </w:r>
      <w:r>
        <w:rPr>
          <w:color w:val="585858"/>
          <w:spacing w:val="-7"/>
        </w:rPr>
        <w:t> </w:t>
      </w:r>
      <w:r>
        <w:rPr>
          <w:color w:val="585858"/>
        </w:rPr>
        <w:t>I.</w:t>
      </w:r>
    </w:p>
    <w:p>
      <w:pPr>
        <w:pStyle w:val="BodyText"/>
        <w:spacing w:line="259" w:lineRule="auto" w:before="161"/>
        <w:ind w:left="560" w:right="107"/>
        <w:jc w:val="both"/>
      </w:pPr>
      <w:r>
        <w:rPr>
          <w:color w:val="585858"/>
        </w:rPr>
        <w:t>Sorting House I will be supported by the CoSe, and in case LEAP-RE will be designed to come to an end already at this stage after 4 years network and infrastructure building in segment 2, the RE-network will have to secure the maintenance of the CoSe and the group of experts in Sorting House I.</w:t>
      </w:r>
    </w:p>
    <w:p>
      <w:pPr>
        <w:pStyle w:val="BodyText"/>
      </w:pPr>
    </w:p>
    <w:p>
      <w:pPr>
        <w:pStyle w:val="BodyText"/>
        <w:spacing w:before="10"/>
        <w:rPr>
          <w:sz w:val="27"/>
        </w:rPr>
      </w:pPr>
    </w:p>
    <w:p>
      <w:pPr>
        <w:pStyle w:val="Heading4"/>
        <w:ind w:left="493"/>
      </w:pPr>
      <w:r>
        <w:rPr>
          <w:rFonts w:ascii="Wingdings 3" w:hAnsi="Wingdings 3"/>
          <w:b w:val="0"/>
          <w:color w:val="27A1B7"/>
        </w:rPr>
        <w:t></w:t>
      </w:r>
      <w:r>
        <w:rPr>
          <w:rFonts w:ascii="Times New Roman" w:hAnsi="Times New Roman"/>
          <w:b w:val="0"/>
          <w:color w:val="27A1B7"/>
        </w:rPr>
        <w:t> </w:t>
      </w:r>
      <w:r>
        <w:rPr>
          <w:color w:val="27A1B7"/>
        </w:rPr>
        <w:t>Pre-identified LEAP-RE/RE-Alliance activities in 2024(?):</w:t>
      </w:r>
    </w:p>
    <w:p>
      <w:pPr>
        <w:pStyle w:val="ListParagraph"/>
        <w:numPr>
          <w:ilvl w:val="0"/>
          <w:numId w:val="5"/>
        </w:numPr>
        <w:tabs>
          <w:tab w:pos="986" w:val="left" w:leader="none"/>
        </w:tabs>
        <w:spacing w:line="259" w:lineRule="auto" w:before="22" w:after="0"/>
        <w:ind w:left="985" w:right="104" w:hanging="144"/>
        <w:jc w:val="both"/>
        <w:rPr>
          <w:sz w:val="22"/>
        </w:rPr>
      </w:pPr>
      <w:r>
        <w:rPr>
          <w:color w:val="27A1B7"/>
          <w:sz w:val="22"/>
        </w:rPr>
        <w:t>A group of experts (=Sorting House I) from Africa and Europe that has been formed during the LEAP- RE programme, will review existing research and research recommendations to identify most relevant recommendations and approaches with a scientific board (forming research cluster could be an option</w:t>
      </w:r>
      <w:r>
        <w:rPr>
          <w:color w:val="27A1B7"/>
          <w:spacing w:val="-2"/>
          <w:sz w:val="22"/>
        </w:rPr>
        <w:t> </w:t>
      </w:r>
      <w:r>
        <w:rPr>
          <w:color w:val="27A1B7"/>
          <w:sz w:val="22"/>
        </w:rPr>
        <w:t>too)</w:t>
      </w:r>
    </w:p>
    <w:p>
      <w:pPr>
        <w:pStyle w:val="ListParagraph"/>
        <w:numPr>
          <w:ilvl w:val="0"/>
          <w:numId w:val="5"/>
        </w:numPr>
        <w:tabs>
          <w:tab w:pos="986" w:val="left" w:leader="none"/>
        </w:tabs>
        <w:spacing w:line="268" w:lineRule="exact" w:before="0" w:after="0"/>
        <w:ind w:left="985" w:right="0" w:hanging="144"/>
        <w:jc w:val="left"/>
        <w:rPr>
          <w:sz w:val="22"/>
        </w:rPr>
      </w:pPr>
      <w:r>
        <w:rPr>
          <w:color w:val="27A1B7"/>
          <w:sz w:val="22"/>
        </w:rPr>
        <w:t>Sorting House I will offer advice to (the) RE-Alliance(s) for decision making within innovation</w:t>
      </w:r>
      <w:r>
        <w:rPr>
          <w:color w:val="27A1B7"/>
          <w:spacing w:val="-29"/>
          <w:sz w:val="22"/>
        </w:rPr>
        <w:t> </w:t>
      </w:r>
      <w:r>
        <w:rPr>
          <w:color w:val="27A1B7"/>
          <w:sz w:val="22"/>
        </w:rPr>
        <w:t>systems</w:t>
      </w:r>
    </w:p>
    <w:p>
      <w:pPr>
        <w:pStyle w:val="ListParagraph"/>
        <w:numPr>
          <w:ilvl w:val="0"/>
          <w:numId w:val="5"/>
        </w:numPr>
        <w:tabs>
          <w:tab w:pos="986" w:val="left" w:leader="none"/>
        </w:tabs>
        <w:spacing w:line="259" w:lineRule="auto" w:before="20" w:after="0"/>
        <w:ind w:left="985" w:right="106" w:hanging="144"/>
        <w:jc w:val="both"/>
        <w:rPr>
          <w:sz w:val="22"/>
        </w:rPr>
      </w:pPr>
      <w:r>
        <w:rPr>
          <w:color w:val="27A1B7"/>
          <w:sz w:val="22"/>
        </w:rPr>
        <w:t>Launching of information on research output in adequate formats: videos, radio programmes, schools and training institutions, participatory research etc. addressing producers as well as decision makers of the</w:t>
      </w:r>
      <w:r>
        <w:rPr>
          <w:color w:val="27A1B7"/>
          <w:spacing w:val="-5"/>
          <w:sz w:val="22"/>
        </w:rPr>
        <w:t> </w:t>
      </w:r>
      <w:r>
        <w:rPr>
          <w:color w:val="27A1B7"/>
          <w:sz w:val="22"/>
        </w:rPr>
        <w:t>RE-Alliance(s)</w:t>
      </w:r>
    </w:p>
    <w:p>
      <w:pPr>
        <w:pStyle w:val="ListParagraph"/>
        <w:numPr>
          <w:ilvl w:val="0"/>
          <w:numId w:val="5"/>
        </w:numPr>
        <w:tabs>
          <w:tab w:pos="986" w:val="left" w:leader="none"/>
        </w:tabs>
        <w:spacing w:line="259" w:lineRule="auto" w:before="1" w:after="0"/>
        <w:ind w:left="985" w:right="107" w:hanging="144"/>
        <w:jc w:val="both"/>
        <w:rPr>
          <w:sz w:val="22"/>
        </w:rPr>
      </w:pPr>
      <w:r>
        <w:rPr>
          <w:color w:val="27A1B7"/>
          <w:sz w:val="22"/>
        </w:rPr>
        <w:t>The building of Sorting House I will start in LEAP-RE in parallel of the research and innovation (R&amp;I) activities and ensures input from associated or non-associated activities and actors of LEAP-RE into the research uptake and innovation</w:t>
      </w:r>
      <w:r>
        <w:rPr>
          <w:color w:val="27A1B7"/>
          <w:spacing w:val="-3"/>
          <w:sz w:val="22"/>
        </w:rPr>
        <w:t> </w:t>
      </w:r>
      <w:r>
        <w:rPr>
          <w:color w:val="27A1B7"/>
          <w:sz w:val="22"/>
        </w:rPr>
        <w:t>processes</w:t>
      </w:r>
    </w:p>
    <w:p>
      <w:pPr>
        <w:spacing w:after="0" w:line="259" w:lineRule="auto"/>
        <w:jc w:val="both"/>
        <w:rPr>
          <w:sz w:val="22"/>
        </w:rPr>
        <w:sectPr>
          <w:pgSz w:w="11920" w:h="16850"/>
          <w:pgMar w:header="0" w:footer="803" w:top="1000" w:bottom="1360" w:left="1000" w:right="740"/>
        </w:sectPr>
      </w:pPr>
    </w:p>
    <w:p>
      <w:pPr>
        <w:pStyle w:val="ListParagraph"/>
        <w:numPr>
          <w:ilvl w:val="0"/>
          <w:numId w:val="5"/>
        </w:numPr>
        <w:tabs>
          <w:tab w:pos="986" w:val="left" w:leader="none"/>
        </w:tabs>
        <w:spacing w:line="259" w:lineRule="auto" w:before="32" w:after="0"/>
        <w:ind w:left="985" w:right="110" w:hanging="144"/>
        <w:jc w:val="both"/>
        <w:rPr>
          <w:sz w:val="22"/>
        </w:rPr>
      </w:pPr>
      <w:r>
        <w:rPr>
          <w:color w:val="27A1B7"/>
          <w:sz w:val="22"/>
        </w:rPr>
        <w:t>Sorting House I will be supported by the CoSe and its infrastructure for dissemination and communication of research output and science</w:t>
      </w:r>
      <w:r>
        <w:rPr>
          <w:color w:val="27A1B7"/>
          <w:spacing w:val="-7"/>
          <w:sz w:val="22"/>
        </w:rPr>
        <w:t> </w:t>
      </w:r>
      <w:r>
        <w:rPr>
          <w:color w:val="27A1B7"/>
          <w:sz w:val="22"/>
        </w:rPr>
        <w:t>recommendations</w:t>
      </w:r>
    </w:p>
    <w:p>
      <w:pPr>
        <w:pStyle w:val="ListParagraph"/>
        <w:numPr>
          <w:ilvl w:val="0"/>
          <w:numId w:val="5"/>
        </w:numPr>
        <w:tabs>
          <w:tab w:pos="986" w:val="left" w:leader="none"/>
        </w:tabs>
        <w:spacing w:line="267" w:lineRule="exact" w:before="0" w:after="0"/>
        <w:ind w:left="985" w:right="0" w:hanging="144"/>
        <w:jc w:val="left"/>
        <w:rPr>
          <w:sz w:val="22"/>
        </w:rPr>
      </w:pPr>
      <w:r>
        <w:rPr>
          <w:color w:val="27A1B7"/>
          <w:sz w:val="22"/>
        </w:rPr>
        <w:t>Sorting House I will work in close collaboration with existing data bases and their</w:t>
      </w:r>
      <w:r>
        <w:rPr>
          <w:color w:val="27A1B7"/>
          <w:spacing w:val="-20"/>
          <w:sz w:val="22"/>
        </w:rPr>
        <w:t> </w:t>
      </w:r>
      <w:r>
        <w:rPr>
          <w:color w:val="27A1B7"/>
          <w:sz w:val="22"/>
        </w:rPr>
        <w:t>managers</w:t>
      </w:r>
    </w:p>
    <w:p>
      <w:pPr>
        <w:pStyle w:val="BodyText"/>
      </w:pPr>
    </w:p>
    <w:p>
      <w:pPr>
        <w:pStyle w:val="BodyText"/>
        <w:spacing w:before="9"/>
        <w:rPr>
          <w:sz w:val="29"/>
        </w:rPr>
      </w:pPr>
    </w:p>
    <w:p>
      <w:pPr>
        <w:pStyle w:val="Heading4"/>
        <w:numPr>
          <w:ilvl w:val="0"/>
          <w:numId w:val="3"/>
        </w:numPr>
        <w:tabs>
          <w:tab w:pos="557" w:val="left" w:leader="none"/>
          <w:tab w:pos="559" w:val="left" w:leader="none"/>
        </w:tabs>
        <w:spacing w:line="240" w:lineRule="auto" w:before="0" w:after="0"/>
        <w:ind w:left="558" w:right="0" w:hanging="425"/>
        <w:jc w:val="left"/>
      </w:pPr>
      <w:r>
        <w:rPr/>
        <w:pict>
          <v:group style="position:absolute;margin-left:70.900002pt;margin-top:16.453613pt;width:480.05pt;height:494.5pt;mso-position-horizontal-relative:page;mso-position-vertical-relative:paragraph;z-index:-33664" coordorigin="1418,329" coordsize="9601,9890">
            <v:shape style="position:absolute;left:1990;top:1320;width:8347;height:8898" type="#_x0000_t75" stroked="false">
              <v:imagedata r:id="rId18" o:title=""/>
            </v:shape>
            <v:shape style="position:absolute;left:1418;top:329;width:9601;height:5401" type="#_x0000_t75" stroked="false">
              <v:imagedata r:id="rId30" o:title=""/>
            </v:shape>
            <w10:wrap type="none"/>
          </v:group>
        </w:pict>
      </w:r>
      <w:r>
        <w:rPr>
          <w:color w:val="585858"/>
        </w:rPr>
        <w:t>RE-Systems</w:t>
      </w:r>
      <w:r>
        <w:rPr>
          <w:color w:val="585858"/>
          <w:spacing w:val="-3"/>
        </w:rPr>
        <w:t> </w:t>
      </w:r>
      <w:r>
        <w:rPr>
          <w:color w:val="585858"/>
        </w:rPr>
        <w:t>Improvement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31"/>
        </w:rPr>
      </w:pPr>
    </w:p>
    <w:p>
      <w:pPr>
        <w:spacing w:before="1"/>
        <w:ind w:left="558" w:right="0" w:firstLine="0"/>
        <w:jc w:val="left"/>
        <w:rPr>
          <w:b/>
          <w:sz w:val="22"/>
        </w:rPr>
      </w:pPr>
      <w:r>
        <w:rPr>
          <w:b/>
          <w:color w:val="585858"/>
          <w:sz w:val="22"/>
        </w:rPr>
        <w:t>Figure 9: PIMC Segment 4 | Systems Improvement</w:t>
      </w:r>
    </w:p>
    <w:p>
      <w:pPr>
        <w:pStyle w:val="BodyText"/>
        <w:spacing w:before="3"/>
        <w:rPr>
          <w:b/>
          <w:sz w:val="31"/>
        </w:rPr>
      </w:pPr>
    </w:p>
    <w:p>
      <w:pPr>
        <w:pStyle w:val="BodyText"/>
        <w:spacing w:line="259" w:lineRule="auto"/>
        <w:ind w:left="560" w:right="107"/>
        <w:jc w:val="both"/>
      </w:pPr>
      <w:r>
        <w:rPr>
          <w:color w:val="585858"/>
        </w:rPr>
        <w:t>This segment of the PIMC1 could be designed e.g. as a two or three years process for testing science based recommendations in practice in the RE-System (RE-System are all interacting actors in the field of RE according to the quadruple helix model: academia, businesses, policy makers and civil society) and for upscaling of successful science based</w:t>
      </w:r>
      <w:r>
        <w:rPr>
          <w:color w:val="585858"/>
          <w:spacing w:val="-2"/>
        </w:rPr>
        <w:t> </w:t>
      </w:r>
      <w:r>
        <w:rPr>
          <w:color w:val="585858"/>
        </w:rPr>
        <w:t>approaches.</w:t>
      </w:r>
    </w:p>
    <w:p>
      <w:pPr>
        <w:pStyle w:val="BodyText"/>
        <w:spacing w:line="259" w:lineRule="auto" w:before="160"/>
        <w:ind w:left="560" w:right="108"/>
        <w:jc w:val="both"/>
      </w:pPr>
      <w:r>
        <w:rPr>
          <w:color w:val="585858"/>
        </w:rPr>
        <w:t>The CoSe will have to continue with the implementation and maintenance of the communication concept of Sorting House I in this segment for ensuring, that all actors who should be addressed with the science recommendations will be reached. The launching of urban or rural laboratories for testing research based solutions and e.g. building innovation funds could be supported by the RE-network via the CoSe.</w:t>
      </w:r>
    </w:p>
    <w:p>
      <w:pPr>
        <w:pStyle w:val="BodyText"/>
        <w:spacing w:line="259" w:lineRule="auto" w:before="158"/>
        <w:ind w:left="560" w:right="105"/>
        <w:jc w:val="both"/>
      </w:pPr>
      <w:r>
        <w:rPr>
          <w:color w:val="585858"/>
        </w:rPr>
        <w:t>Furthermore the CoSe will have to secure feedback loops with the innovators and institutions for innovation as a part of the PIMC1 M&amp;E (programme level) process. This would allow identifying future research and innovation demand which would feed into the activities in segment 1 of the PIMC2, the Sorting House II in preparation of the future PIMC(s).</w:t>
      </w:r>
    </w:p>
    <w:p>
      <w:pPr>
        <w:pStyle w:val="BodyText"/>
      </w:pPr>
    </w:p>
    <w:p>
      <w:pPr>
        <w:pStyle w:val="BodyText"/>
        <w:rPr>
          <w:sz w:val="28"/>
        </w:rPr>
      </w:pPr>
    </w:p>
    <w:p>
      <w:pPr>
        <w:pStyle w:val="Heading4"/>
        <w:spacing w:before="1"/>
        <w:ind w:left="493"/>
      </w:pPr>
      <w:r>
        <w:rPr>
          <w:rFonts w:ascii="Wingdings 3" w:hAnsi="Wingdings 3"/>
          <w:b w:val="0"/>
          <w:color w:val="27A1B7"/>
        </w:rPr>
        <w:t></w:t>
      </w:r>
      <w:r>
        <w:rPr>
          <w:rFonts w:ascii="Times New Roman" w:hAnsi="Times New Roman"/>
          <w:b w:val="0"/>
          <w:color w:val="27A1B7"/>
        </w:rPr>
        <w:t> </w:t>
      </w:r>
      <w:r>
        <w:rPr>
          <w:color w:val="27A1B7"/>
        </w:rPr>
        <w:t>Pre-identified LEAP-RE/ RE-Alliance activities:</w:t>
      </w:r>
    </w:p>
    <w:p>
      <w:pPr>
        <w:pStyle w:val="ListParagraph"/>
        <w:numPr>
          <w:ilvl w:val="0"/>
          <w:numId w:val="6"/>
        </w:numPr>
        <w:tabs>
          <w:tab w:pos="986" w:val="left" w:leader="none"/>
        </w:tabs>
        <w:spacing w:line="259" w:lineRule="auto" w:before="19" w:after="0"/>
        <w:ind w:left="985" w:right="108" w:hanging="144"/>
        <w:jc w:val="both"/>
        <w:rPr>
          <w:sz w:val="22"/>
        </w:rPr>
      </w:pPr>
      <w:r>
        <w:rPr>
          <w:color w:val="27A1B7"/>
          <w:sz w:val="22"/>
        </w:rPr>
        <w:t>Research demand for future research will be identified with the PIMC1 M&amp;E tools, which will feed in particular into Sorting House II that will monitor and evaluate the ongoing research and innovation activities</w:t>
      </w:r>
    </w:p>
    <w:p>
      <w:pPr>
        <w:pStyle w:val="ListParagraph"/>
        <w:numPr>
          <w:ilvl w:val="0"/>
          <w:numId w:val="6"/>
        </w:numPr>
        <w:tabs>
          <w:tab w:pos="986" w:val="left" w:leader="none"/>
        </w:tabs>
        <w:spacing w:line="240" w:lineRule="auto" w:before="2" w:after="0"/>
        <w:ind w:left="985" w:right="0" w:hanging="144"/>
        <w:jc w:val="left"/>
        <w:rPr>
          <w:sz w:val="22"/>
        </w:rPr>
      </w:pPr>
      <w:r>
        <w:rPr>
          <w:color w:val="27A1B7"/>
          <w:sz w:val="22"/>
        </w:rPr>
        <w:t>The CoSe could support the RE-network in the following fields of</w:t>
      </w:r>
      <w:r>
        <w:rPr>
          <w:color w:val="27A1B7"/>
          <w:spacing w:val="-11"/>
          <w:sz w:val="22"/>
        </w:rPr>
        <w:t> </w:t>
      </w:r>
      <w:r>
        <w:rPr>
          <w:color w:val="27A1B7"/>
          <w:sz w:val="22"/>
        </w:rPr>
        <w:t>activities:</w:t>
      </w:r>
    </w:p>
    <w:p>
      <w:pPr>
        <w:pStyle w:val="BodyText"/>
        <w:spacing w:before="19"/>
        <w:ind w:left="1126"/>
      </w:pPr>
      <w:r>
        <w:rPr>
          <w:rFonts w:ascii="Wingdings 3" w:hAnsi="Wingdings 3"/>
          <w:color w:val="27A1B7"/>
        </w:rPr>
        <w:t></w:t>
      </w:r>
      <w:r>
        <w:rPr>
          <w:rFonts w:ascii="Times New Roman" w:hAnsi="Times New Roman"/>
          <w:color w:val="27A1B7"/>
        </w:rPr>
        <w:t>  </w:t>
      </w:r>
      <w:r>
        <w:rPr>
          <w:color w:val="27A1B7"/>
        </w:rPr>
        <w:t>Linking  research with the launch  of  urban or rural  ‘laboratories’ (labs) as regular</w:t>
      </w:r>
      <w:r>
        <w:rPr>
          <w:color w:val="27A1B7"/>
          <w:spacing w:val="-23"/>
        </w:rPr>
        <w:t> </w:t>
      </w:r>
      <w:r>
        <w:rPr>
          <w:color w:val="27A1B7"/>
        </w:rPr>
        <w:t>institutions </w:t>
      </w:r>
      <w:r>
        <w:rPr>
          <w:color w:val="27A1B7"/>
          <w:spacing w:val="-3"/>
        </w:rPr>
        <w:t>to</w:t>
      </w:r>
    </w:p>
    <w:p>
      <w:pPr>
        <w:pStyle w:val="BodyText"/>
        <w:spacing w:before="22"/>
        <w:ind w:left="1410"/>
      </w:pPr>
      <w:r>
        <w:rPr>
          <w:color w:val="27A1B7"/>
        </w:rPr>
        <w:t>test solutions  and  develop innovation  funds that  are  fuelling  rural  labs  by</w:t>
      </w:r>
      <w:r>
        <w:rPr>
          <w:color w:val="27A1B7"/>
          <w:spacing w:val="11"/>
        </w:rPr>
        <w:t> </w:t>
      </w:r>
      <w:r>
        <w:rPr>
          <w:color w:val="27A1B7"/>
        </w:rPr>
        <w:t>the CoSe. LEAP-RE</w:t>
      </w:r>
    </w:p>
    <w:p>
      <w:pPr>
        <w:spacing w:after="0"/>
        <w:sectPr>
          <w:pgSz w:w="11920" w:h="16850"/>
          <w:pgMar w:header="0" w:footer="803" w:top="960" w:bottom="1360" w:left="1000" w:right="740"/>
        </w:sectPr>
      </w:pPr>
    </w:p>
    <w:p>
      <w:pPr>
        <w:pStyle w:val="BodyText"/>
        <w:spacing w:before="32"/>
        <w:ind w:left="1410"/>
      </w:pPr>
      <w:r>
        <w:rPr>
          <w:color w:val="27A1B7"/>
        </w:rPr>
        <w:t>funded research and the RE-network itself (built by LEAP-RE) could be linked in doing so to other</w:t>
      </w:r>
    </w:p>
    <w:p>
      <w:pPr>
        <w:pStyle w:val="BodyText"/>
        <w:spacing w:before="22"/>
        <w:ind w:left="1410"/>
      </w:pPr>
      <w:r>
        <w:rPr>
          <w:color w:val="27A1B7"/>
        </w:rPr>
        <w:t>‘external’ activities of actors associated to LEAP-RE or non-LEAP-RE-associated activities.</w:t>
      </w:r>
    </w:p>
    <w:p>
      <w:pPr>
        <w:pStyle w:val="BodyText"/>
        <w:spacing w:line="259" w:lineRule="auto" w:before="20"/>
        <w:ind w:left="1410" w:right="108" w:hanging="284"/>
        <w:jc w:val="both"/>
      </w:pPr>
      <w:r>
        <w:rPr>
          <w:rFonts w:ascii="Wingdings 3" w:hAnsi="Wingdings 3"/>
          <w:color w:val="27A1B7"/>
        </w:rPr>
        <w:t></w:t>
      </w:r>
      <w:r>
        <w:rPr>
          <w:rFonts w:ascii="Times New Roman" w:hAnsi="Times New Roman"/>
          <w:color w:val="27A1B7"/>
        </w:rPr>
        <w:t> </w:t>
      </w:r>
      <w:r>
        <w:rPr>
          <w:color w:val="27A1B7"/>
        </w:rPr>
        <w:t>Budgets for projects should be earmarked to fund credits to finance small businesses who work with the research based recommendations. The regular inclusion of investment banks into the PIMC1 could be considered. Options to use these funds to set up a revolving fund could be examined to initiate and ensure sustainable processes.</w:t>
      </w:r>
    </w:p>
    <w:p>
      <w:pPr>
        <w:pStyle w:val="BodyText"/>
        <w:spacing w:line="259" w:lineRule="auto"/>
        <w:ind w:left="1410" w:right="106" w:hanging="284"/>
        <w:jc w:val="both"/>
      </w:pPr>
      <w:r>
        <w:rPr>
          <w:rFonts w:ascii="Wingdings 3" w:hAnsi="Wingdings 3"/>
          <w:color w:val="27A1B7"/>
        </w:rPr>
        <w:t></w:t>
      </w:r>
      <w:r>
        <w:rPr>
          <w:rFonts w:ascii="Times New Roman" w:hAnsi="Times New Roman"/>
          <w:color w:val="27A1B7"/>
        </w:rPr>
        <w:t> </w:t>
      </w:r>
      <w:r>
        <w:rPr>
          <w:color w:val="27A1B7"/>
        </w:rPr>
        <w:t>Upscaling successful research based on the M&amp;E of the rural labs output by modelling of upscaling at both local and regional level in cooperation with selected funding organizations operating in rural and urban communities’ development.</w:t>
      </w:r>
    </w:p>
    <w:p>
      <w:pPr>
        <w:pStyle w:val="BodyText"/>
        <w:spacing w:line="256" w:lineRule="auto"/>
        <w:ind w:left="1410" w:right="113" w:hanging="284"/>
        <w:jc w:val="both"/>
      </w:pPr>
      <w:r>
        <w:rPr/>
        <w:pict>
          <v:group style="position:absolute;margin-left:78pt;margin-top:9.523655pt;width:480.05pt;height:444.9pt;mso-position-horizontal-relative:page;mso-position-vertical-relative:paragraph;z-index:-33640" coordorigin="1560,190" coordsize="9601,8898">
            <v:shape style="position:absolute;left:1990;top:190;width:8347;height:8898" type="#_x0000_t75" stroked="false">
              <v:imagedata r:id="rId18" o:title=""/>
            </v:shape>
            <v:shape style="position:absolute;left:1560;top:1647;width:9601;height:5401" type="#_x0000_t75" stroked="false">
              <v:imagedata r:id="rId31" o:title=""/>
            </v:shape>
            <w10:wrap type="none"/>
          </v:group>
        </w:pict>
      </w:r>
      <w:r>
        <w:rPr>
          <w:rFonts w:ascii="Wingdings 3" w:hAnsi="Wingdings 3"/>
          <w:color w:val="27A1B7"/>
        </w:rPr>
        <w:t></w:t>
      </w:r>
      <w:r>
        <w:rPr>
          <w:rFonts w:ascii="Times New Roman" w:hAnsi="Times New Roman"/>
          <w:color w:val="27A1B7"/>
        </w:rPr>
        <w:t> </w:t>
      </w:r>
      <w:r>
        <w:rPr>
          <w:color w:val="27A1B7"/>
        </w:rPr>
        <w:t>Integrating research activities in value chain strategies and designing schemes to plan upscaling and leverage.</w:t>
      </w:r>
    </w:p>
    <w:p>
      <w:pPr>
        <w:pStyle w:val="BodyText"/>
        <w:spacing w:before="5"/>
        <w:rPr>
          <w:sz w:val="26"/>
        </w:rPr>
      </w:pPr>
    </w:p>
    <w:p>
      <w:pPr>
        <w:pStyle w:val="Heading4"/>
        <w:numPr>
          <w:ilvl w:val="0"/>
          <w:numId w:val="3"/>
        </w:numPr>
        <w:tabs>
          <w:tab w:pos="557" w:val="left" w:leader="none"/>
          <w:tab w:pos="559" w:val="left" w:leader="none"/>
        </w:tabs>
        <w:spacing w:line="240" w:lineRule="auto" w:before="0" w:after="0"/>
        <w:ind w:left="558" w:right="0" w:hanging="425"/>
        <w:jc w:val="left"/>
      </w:pPr>
      <w:r>
        <w:rPr>
          <w:color w:val="585858"/>
        </w:rPr>
        <w:t>A new PIMC | Sorting House II | Knowledge Gaps in Systems</w:t>
      </w:r>
      <w:r>
        <w:rPr>
          <w:color w:val="585858"/>
          <w:spacing w:val="-16"/>
        </w:rPr>
        <w:t> </w:t>
      </w:r>
      <w:r>
        <w:rPr>
          <w:color w:val="585858"/>
        </w:rPr>
        <w:t>Improvement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4"/>
        </w:rPr>
      </w:pPr>
    </w:p>
    <w:p>
      <w:pPr>
        <w:spacing w:before="0"/>
        <w:ind w:left="558" w:right="0" w:firstLine="0"/>
        <w:jc w:val="left"/>
        <w:rPr>
          <w:b/>
          <w:sz w:val="22"/>
        </w:rPr>
      </w:pPr>
      <w:r>
        <w:rPr>
          <w:b/>
          <w:color w:val="585858"/>
          <w:sz w:val="22"/>
        </w:rPr>
        <w:t>Figure 10: PIMC 2 Segment 1 | Sorting House II</w:t>
      </w:r>
    </w:p>
    <w:p>
      <w:pPr>
        <w:pStyle w:val="BodyText"/>
        <w:spacing w:before="2"/>
        <w:rPr>
          <w:b/>
          <w:sz w:val="31"/>
        </w:rPr>
      </w:pPr>
    </w:p>
    <w:p>
      <w:pPr>
        <w:pStyle w:val="BodyText"/>
        <w:spacing w:line="259" w:lineRule="auto"/>
        <w:ind w:left="560" w:right="106"/>
        <w:jc w:val="both"/>
      </w:pPr>
      <w:r>
        <w:rPr>
          <w:color w:val="585858"/>
        </w:rPr>
        <w:t>In this segment, the first of PIMC2, the restricting factors for systems improvement should be identified and analysed based on the output of the programme’s M&amp;E process. Including a second reflection about the TCIP1 in PIMC1, levers and strategic objectives for future research and capacity building agendas should be developed in Sorting House II. The process of Sorting House II might take half a year and the output will be the preparations for PIMC2 and could include already a first draft of TCIP2 and the formation of a new PIMC2 consortium.</w:t>
      </w:r>
    </w:p>
    <w:p>
      <w:pPr>
        <w:pStyle w:val="BodyText"/>
      </w:pPr>
    </w:p>
    <w:p>
      <w:pPr>
        <w:pStyle w:val="Heading4"/>
        <w:spacing w:before="161"/>
        <w:ind w:left="493"/>
      </w:pPr>
      <w:r>
        <w:rPr>
          <w:rFonts w:ascii="Wingdings 3" w:hAnsi="Wingdings 3"/>
          <w:b w:val="0"/>
          <w:color w:val="27A1B7"/>
        </w:rPr>
        <w:t></w:t>
      </w:r>
      <w:r>
        <w:rPr>
          <w:rFonts w:ascii="Times New Roman" w:hAnsi="Times New Roman"/>
          <w:b w:val="0"/>
          <w:color w:val="27A1B7"/>
        </w:rPr>
        <w:t> </w:t>
      </w:r>
      <w:r>
        <w:rPr>
          <w:color w:val="27A1B7"/>
        </w:rPr>
        <w:t>Pre-identified LEAP-RE/RE-Alliance activities:</w:t>
      </w:r>
    </w:p>
    <w:p>
      <w:pPr>
        <w:pStyle w:val="ListParagraph"/>
        <w:numPr>
          <w:ilvl w:val="0"/>
          <w:numId w:val="7"/>
        </w:numPr>
        <w:tabs>
          <w:tab w:pos="986" w:val="left" w:leader="none"/>
        </w:tabs>
        <w:spacing w:line="240" w:lineRule="auto" w:before="19" w:after="0"/>
        <w:ind w:left="985" w:right="0" w:hanging="144"/>
        <w:jc w:val="left"/>
        <w:rPr>
          <w:sz w:val="22"/>
        </w:rPr>
      </w:pPr>
      <w:r>
        <w:rPr>
          <w:color w:val="27A1B7"/>
          <w:sz w:val="22"/>
        </w:rPr>
        <w:t>M&amp;E report PIMC1 research and innovation activities as well as ‘external’</w:t>
      </w:r>
      <w:r>
        <w:rPr>
          <w:color w:val="27A1B7"/>
          <w:spacing w:val="-12"/>
          <w:sz w:val="22"/>
        </w:rPr>
        <w:t> </w:t>
      </w:r>
      <w:r>
        <w:rPr>
          <w:color w:val="27A1B7"/>
          <w:sz w:val="22"/>
        </w:rPr>
        <w:t>inputs</w:t>
      </w:r>
    </w:p>
    <w:p>
      <w:pPr>
        <w:pStyle w:val="ListParagraph"/>
        <w:numPr>
          <w:ilvl w:val="0"/>
          <w:numId w:val="7"/>
        </w:numPr>
        <w:tabs>
          <w:tab w:pos="986" w:val="left" w:leader="none"/>
        </w:tabs>
        <w:spacing w:line="240" w:lineRule="auto" w:before="22" w:after="0"/>
        <w:ind w:left="985" w:right="0" w:hanging="144"/>
        <w:jc w:val="left"/>
        <w:rPr>
          <w:sz w:val="22"/>
        </w:rPr>
      </w:pPr>
      <w:r>
        <w:rPr>
          <w:color w:val="27A1B7"/>
          <w:sz w:val="22"/>
        </w:rPr>
        <w:t>Conducting gap analysis and advising</w:t>
      </w:r>
      <w:r>
        <w:rPr>
          <w:color w:val="27A1B7"/>
          <w:spacing w:val="-6"/>
          <w:sz w:val="22"/>
        </w:rPr>
        <w:t> </w:t>
      </w:r>
      <w:r>
        <w:rPr>
          <w:color w:val="27A1B7"/>
          <w:sz w:val="22"/>
        </w:rPr>
        <w:t>RE-Alliances</w:t>
      </w:r>
    </w:p>
    <w:p>
      <w:pPr>
        <w:pStyle w:val="ListParagraph"/>
        <w:numPr>
          <w:ilvl w:val="0"/>
          <w:numId w:val="7"/>
        </w:numPr>
        <w:tabs>
          <w:tab w:pos="986" w:val="left" w:leader="none"/>
        </w:tabs>
        <w:spacing w:line="259" w:lineRule="auto" w:before="22" w:after="0"/>
        <w:ind w:left="985" w:right="107" w:hanging="144"/>
        <w:jc w:val="left"/>
        <w:rPr>
          <w:sz w:val="22"/>
        </w:rPr>
      </w:pPr>
      <w:r>
        <w:rPr>
          <w:color w:val="27A1B7"/>
          <w:sz w:val="22"/>
        </w:rPr>
        <w:t>Identification of factors which require additional research through overarching studies on research outputs and outcomes and approaches that were</w:t>
      </w:r>
      <w:r>
        <w:rPr>
          <w:color w:val="27A1B7"/>
          <w:spacing w:val="-9"/>
          <w:sz w:val="22"/>
        </w:rPr>
        <w:t> </w:t>
      </w:r>
      <w:r>
        <w:rPr>
          <w:color w:val="27A1B7"/>
          <w:sz w:val="22"/>
        </w:rPr>
        <w:t>provided</w:t>
      </w:r>
    </w:p>
    <w:p>
      <w:pPr>
        <w:pStyle w:val="ListParagraph"/>
        <w:numPr>
          <w:ilvl w:val="0"/>
          <w:numId w:val="7"/>
        </w:numPr>
        <w:tabs>
          <w:tab w:pos="986" w:val="left" w:leader="none"/>
        </w:tabs>
        <w:spacing w:line="267" w:lineRule="exact" w:before="0" w:after="0"/>
        <w:ind w:left="985" w:right="0" w:hanging="144"/>
        <w:jc w:val="left"/>
        <w:rPr>
          <w:sz w:val="22"/>
        </w:rPr>
      </w:pPr>
      <w:r>
        <w:rPr>
          <w:color w:val="27A1B7"/>
          <w:sz w:val="22"/>
        </w:rPr>
        <w:t>Systematic planning of up- and out-scaling in R&amp;I</w:t>
      </w:r>
      <w:r>
        <w:rPr>
          <w:color w:val="27A1B7"/>
          <w:spacing w:val="-8"/>
          <w:sz w:val="22"/>
        </w:rPr>
        <w:t> </w:t>
      </w:r>
      <w:r>
        <w:rPr>
          <w:color w:val="27A1B7"/>
          <w:sz w:val="22"/>
        </w:rPr>
        <w:t>projects</w:t>
      </w:r>
    </w:p>
    <w:p>
      <w:pPr>
        <w:spacing w:after="0" w:line="267" w:lineRule="exact"/>
        <w:jc w:val="left"/>
        <w:rPr>
          <w:sz w:val="22"/>
        </w:rPr>
        <w:sectPr>
          <w:pgSz w:w="11920" w:h="16850"/>
          <w:pgMar w:header="0" w:footer="803" w:top="960" w:bottom="1360" w:left="1000" w:right="740"/>
        </w:sectPr>
      </w:pPr>
    </w:p>
    <w:p>
      <w:pPr>
        <w:pStyle w:val="ListParagraph"/>
        <w:numPr>
          <w:ilvl w:val="0"/>
          <w:numId w:val="7"/>
        </w:numPr>
        <w:tabs>
          <w:tab w:pos="986" w:val="left" w:leader="none"/>
        </w:tabs>
        <w:spacing w:line="240" w:lineRule="auto" w:before="32" w:after="0"/>
        <w:ind w:left="985" w:right="0" w:hanging="144"/>
        <w:jc w:val="left"/>
        <w:rPr>
          <w:sz w:val="22"/>
        </w:rPr>
      </w:pPr>
      <w:r>
        <w:rPr>
          <w:color w:val="27A1B7"/>
          <w:sz w:val="22"/>
        </w:rPr>
        <w:t>Reflection of the PIMC1 TCIP1 and drafting a TCIP2 and</w:t>
      </w:r>
      <w:r>
        <w:rPr>
          <w:color w:val="27A1B7"/>
          <w:spacing w:val="-8"/>
          <w:sz w:val="22"/>
        </w:rPr>
        <w:t> </w:t>
      </w:r>
      <w:r>
        <w:rPr>
          <w:color w:val="27A1B7"/>
          <w:sz w:val="22"/>
        </w:rPr>
        <w:t>PIMC2</w:t>
      </w:r>
    </w:p>
    <w:p>
      <w:pPr>
        <w:pStyle w:val="ListParagraph"/>
        <w:numPr>
          <w:ilvl w:val="0"/>
          <w:numId w:val="7"/>
        </w:numPr>
        <w:tabs>
          <w:tab w:pos="986" w:val="left" w:leader="none"/>
        </w:tabs>
        <w:spacing w:line="240" w:lineRule="auto" w:before="22" w:after="0"/>
        <w:ind w:left="985" w:right="0" w:hanging="144"/>
        <w:jc w:val="left"/>
        <w:rPr>
          <w:sz w:val="22"/>
        </w:rPr>
      </w:pPr>
      <w:r>
        <w:rPr>
          <w:color w:val="27A1B7"/>
          <w:sz w:val="22"/>
        </w:rPr>
        <w:t>Contributing to a PIMC2 kick-off conference</w:t>
      </w:r>
      <w:r>
        <w:rPr>
          <w:color w:val="27A1B7"/>
          <w:spacing w:val="-6"/>
          <w:sz w:val="22"/>
        </w:rPr>
        <w:t> </w:t>
      </w:r>
      <w:r>
        <w:rPr>
          <w:color w:val="27A1B7"/>
          <w:sz w:val="22"/>
        </w:rPr>
        <w:t>by</w:t>
      </w:r>
    </w:p>
    <w:p>
      <w:pPr>
        <w:pStyle w:val="ListParagraph"/>
        <w:numPr>
          <w:ilvl w:val="1"/>
          <w:numId w:val="3"/>
        </w:numPr>
        <w:tabs>
          <w:tab w:pos="1202" w:val="left" w:leader="none"/>
        </w:tabs>
        <w:spacing w:line="240" w:lineRule="auto" w:before="20" w:after="0"/>
        <w:ind w:left="1201" w:right="0" w:hanging="216"/>
        <w:jc w:val="left"/>
        <w:rPr>
          <w:color w:val="27A1B7"/>
          <w:sz w:val="22"/>
        </w:rPr>
      </w:pPr>
      <w:r>
        <w:rPr>
          <w:color w:val="27A1B7"/>
          <w:sz w:val="22"/>
        </w:rPr>
        <w:t>drafting</w:t>
      </w:r>
      <w:r>
        <w:rPr>
          <w:color w:val="27A1B7"/>
          <w:spacing w:val="-2"/>
          <w:sz w:val="22"/>
        </w:rPr>
        <w:t> </w:t>
      </w:r>
      <w:r>
        <w:rPr>
          <w:color w:val="27A1B7"/>
          <w:sz w:val="22"/>
        </w:rPr>
        <w:t>TCIP2</w:t>
      </w:r>
    </w:p>
    <w:p>
      <w:pPr>
        <w:pStyle w:val="ListParagraph"/>
        <w:numPr>
          <w:ilvl w:val="1"/>
          <w:numId w:val="3"/>
        </w:numPr>
        <w:tabs>
          <w:tab w:pos="1202" w:val="left" w:leader="none"/>
        </w:tabs>
        <w:spacing w:line="259" w:lineRule="auto" w:before="21" w:after="0"/>
        <w:ind w:left="1201" w:right="105" w:hanging="216"/>
        <w:jc w:val="both"/>
        <w:rPr>
          <w:color w:val="27A1B7"/>
          <w:sz w:val="22"/>
        </w:rPr>
      </w:pPr>
      <w:r>
        <w:rPr>
          <w:color w:val="27A1B7"/>
          <w:sz w:val="22"/>
        </w:rPr>
        <w:t>drafting solutions towards RE-system improvement, in particular the definition of practical recommendations / levers for governance and the RE-system, including discussion of externalities and</w:t>
      </w:r>
      <w:r>
        <w:rPr>
          <w:color w:val="27A1B7"/>
          <w:spacing w:val="-1"/>
          <w:sz w:val="22"/>
        </w:rPr>
        <w:t> </w:t>
      </w:r>
      <w:r>
        <w:rPr>
          <w:color w:val="27A1B7"/>
          <w:sz w:val="22"/>
        </w:rPr>
        <w:t>SDGs</w:t>
      </w:r>
    </w:p>
    <w:p>
      <w:pPr>
        <w:pStyle w:val="ListParagraph"/>
        <w:numPr>
          <w:ilvl w:val="1"/>
          <w:numId w:val="3"/>
        </w:numPr>
        <w:tabs>
          <w:tab w:pos="1202" w:val="left" w:leader="none"/>
        </w:tabs>
        <w:spacing w:line="259" w:lineRule="auto" w:before="0" w:after="0"/>
        <w:ind w:left="1201" w:right="107" w:hanging="216"/>
        <w:jc w:val="both"/>
        <w:rPr>
          <w:color w:val="27A1B7"/>
          <w:sz w:val="22"/>
        </w:rPr>
      </w:pPr>
      <w:r>
        <w:rPr/>
        <w:pict>
          <v:group style="position:absolute;margin-left:78pt;margin-top:51.523651pt;width:480.05pt;height:446.5pt;mso-position-horizontal-relative:page;mso-position-vertical-relative:paragraph;z-index:-33616" coordorigin="1560,1030" coordsize="9601,8930">
            <v:shape style="position:absolute;left:1990;top:1061;width:8347;height:8898" type="#_x0000_t75" stroked="false">
              <v:imagedata r:id="rId18" o:title=""/>
            </v:shape>
            <v:shape style="position:absolute;left:1560;top:1030;width:9601;height:5401" type="#_x0000_t75" stroked="false">
              <v:imagedata r:id="rId32" o:title=""/>
            </v:shape>
            <w10:wrap type="none"/>
          </v:group>
        </w:pict>
      </w:r>
      <w:r>
        <w:rPr>
          <w:color w:val="27A1B7"/>
          <w:sz w:val="22"/>
        </w:rPr>
        <w:t>the improvement of the PIMC model and the maintenance of knowledge management and communication</w:t>
      </w:r>
      <w:r>
        <w:rPr>
          <w:color w:val="27A1B7"/>
          <w:spacing w:val="-2"/>
          <w:sz w:val="22"/>
        </w:rPr>
        <w:t> </w:t>
      </w:r>
      <w:r>
        <w:rPr>
          <w:color w:val="27A1B7"/>
          <w:sz w:val="22"/>
        </w:rPr>
        <w:t>infrastructures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2"/>
        </w:rPr>
      </w:pPr>
    </w:p>
    <w:p>
      <w:pPr>
        <w:pStyle w:val="Heading4"/>
      </w:pPr>
      <w:r>
        <w:rPr>
          <w:color w:val="585858"/>
        </w:rPr>
        <w:t>Figure 11: PIMC as a long-term model for RE-Alliances</w:t>
      </w:r>
    </w:p>
    <w:p>
      <w:pPr>
        <w:pStyle w:val="BodyText"/>
        <w:spacing w:before="3"/>
        <w:rPr>
          <w:b/>
          <w:sz w:val="31"/>
        </w:rPr>
      </w:pPr>
    </w:p>
    <w:p>
      <w:pPr>
        <w:pStyle w:val="BodyText"/>
        <w:spacing w:line="259" w:lineRule="auto"/>
        <w:ind w:left="560" w:right="109"/>
        <w:jc w:val="both"/>
      </w:pPr>
      <w:r>
        <w:rPr>
          <w:color w:val="585858"/>
        </w:rPr>
        <w:t>LEAP-RE, or the RE-Alliance emerged from LEAP-RE, will close the PIMC1 with the output of Sorting House II and several R&amp;I activities. The PIMC might take 7 or more years for one full cycle.</w:t>
      </w:r>
    </w:p>
    <w:p>
      <w:pPr>
        <w:pStyle w:val="BodyText"/>
        <w:spacing w:line="259" w:lineRule="auto" w:before="159"/>
        <w:ind w:left="560" w:right="106"/>
        <w:jc w:val="both"/>
      </w:pPr>
      <w:r>
        <w:rPr>
          <w:color w:val="585858"/>
        </w:rPr>
        <w:t>Further PIMCs are then expected to follow, starting again with the output of the reflections on TCIP1 and PIMC2 and a new TCIP2 and PIMC2 in Sorting House II. A self-sustainable management and coordination infrastructure after LEAP-RE and maintained by the RE-Alliance for future PIMCs will then be available and will be developed further according to the needs in PIMC2 and other following PIMCs in the future.</w:t>
      </w:r>
    </w:p>
    <w:p>
      <w:pPr>
        <w:pStyle w:val="BodyText"/>
        <w:spacing w:line="259" w:lineRule="auto" w:before="161"/>
        <w:ind w:left="560" w:right="105"/>
        <w:jc w:val="both"/>
      </w:pPr>
      <w:r>
        <w:rPr>
          <w:color w:val="585858"/>
        </w:rPr>
        <w:t>A PIMC is not for a closed group of actors like the LEAP-RE consortium during the programme’s period. It includes activities that might have been initiated already by different actors who are relevant in all four segments of the PIMC model. Since synergies of envisaged and ongoing activities have rarely been identified and the actors have not coordinated their resources, agendas, nor knowledge management and communication tools and methods, the PIMC has been developed to serve as a reference point for collaboration of different actors also beyond LEAP-RE in coming RE-Alliances. The coordination of the four segments of the PIMC would therefore become the pivotal point for closer collaboration.</w:t>
      </w:r>
    </w:p>
    <w:p>
      <w:pPr>
        <w:pStyle w:val="BodyText"/>
        <w:spacing w:line="259" w:lineRule="auto" w:before="159"/>
        <w:ind w:left="560" w:right="108"/>
        <w:jc w:val="both"/>
      </w:pPr>
      <w:r>
        <w:rPr>
          <w:color w:val="585858"/>
        </w:rPr>
        <w:t>The PIMC model is a pilot that has been developed for addressing the long-term perspective for collaboration in the field of RE. It is at the same time part of a concerted action in line with the other two H2020 LEAP-projects in the field of food systems (LEAP-Agri &amp; LEAP4FNSSA).</w:t>
      </w:r>
    </w:p>
    <w:p>
      <w:pPr>
        <w:spacing w:after="0" w:line="259" w:lineRule="auto"/>
        <w:jc w:val="both"/>
        <w:sectPr>
          <w:pgSz w:w="11920" w:h="16850"/>
          <w:pgMar w:header="0" w:footer="803" w:top="960" w:bottom="1360" w:left="1000" w:right="740"/>
        </w:sectPr>
      </w:pPr>
    </w:p>
    <w:p>
      <w:pPr>
        <w:pStyle w:val="BodyText"/>
        <w:spacing w:line="259" w:lineRule="auto" w:before="32"/>
        <w:ind w:left="560" w:right="107"/>
        <w:jc w:val="both"/>
      </w:pPr>
      <w:r>
        <w:rPr>
          <w:color w:val="585858"/>
        </w:rPr>
        <w:t>All LEAP-Projects are addressing roadmaps of the AU-EU-HLPD (one on Food and Nutrition Security and Sustainable Agriculture and the other on Climate Change and Sustainable Energies) and in all LEAP- projects is a big overlap of funding institutions but the other actors like researchers and from the private sector are different because of the different thematic fields.</w:t>
      </w:r>
    </w:p>
    <w:p>
      <w:pPr>
        <w:pStyle w:val="BodyText"/>
        <w:spacing w:line="259" w:lineRule="auto" w:before="158"/>
        <w:ind w:left="560" w:right="108"/>
        <w:jc w:val="both"/>
      </w:pPr>
      <w:r>
        <w:rPr>
          <w:color w:val="585858"/>
        </w:rPr>
        <w:t>Therefore, once all actors and programmes refer in their activities to the PIMC model, resources could be saved by building activities in future PIMCs on the developed management and coordination infrastructure of the CoSe, like modules, methods and technologies and in particular for knowledge management and</w:t>
      </w:r>
      <w:r>
        <w:rPr>
          <w:color w:val="585858"/>
          <w:spacing w:val="-4"/>
        </w:rPr>
        <w:t> </w:t>
      </w:r>
      <w:r>
        <w:rPr>
          <w:color w:val="585858"/>
        </w:rPr>
        <w:t>communication.</w:t>
      </w:r>
    </w:p>
    <w:p>
      <w:pPr>
        <w:pStyle w:val="BodyText"/>
      </w:pPr>
    </w:p>
    <w:p>
      <w:pPr>
        <w:pStyle w:val="BodyText"/>
        <w:spacing w:before="5"/>
        <w:rPr>
          <w:sz w:val="17"/>
        </w:rPr>
      </w:pPr>
    </w:p>
    <w:p>
      <w:pPr>
        <w:pStyle w:val="Heading1"/>
        <w:numPr>
          <w:ilvl w:val="0"/>
          <w:numId w:val="8"/>
        </w:numPr>
        <w:tabs>
          <w:tab w:pos="557" w:val="left" w:leader="none"/>
          <w:tab w:pos="559" w:val="left" w:leader="none"/>
        </w:tabs>
        <w:spacing w:line="240" w:lineRule="auto" w:before="1" w:after="0"/>
        <w:ind w:left="558" w:right="0" w:hanging="425"/>
        <w:jc w:val="left"/>
      </w:pPr>
      <w:r>
        <w:rPr/>
        <w:pict>
          <v:group style="position:absolute;margin-left:78pt;margin-top:-7.969924pt;width:480.05pt;height:444.9pt;mso-position-horizontal-relative:page;mso-position-vertical-relative:paragraph;z-index:-33592" coordorigin="1560,-159" coordsize="9601,8898">
            <v:shape style="position:absolute;left:1990;top:-160;width:8347;height:8898" type="#_x0000_t75" stroked="false">
              <v:imagedata r:id="rId18" o:title=""/>
            </v:shape>
            <v:shape style="position:absolute;left:1560;top:461;width:9601;height:5401" type="#_x0000_t75" stroked="false">
              <v:imagedata r:id="rId33" o:title=""/>
            </v:shape>
            <w10:wrap type="none"/>
          </v:group>
        </w:pict>
      </w:r>
      <w:bookmarkStart w:name="_bookmark3" w:id="8"/>
      <w:bookmarkEnd w:id="8"/>
      <w:r>
        <w:rPr>
          <w:b w:val="0"/>
        </w:rPr>
      </w:r>
      <w:bookmarkStart w:name="_bookmark3" w:id="9"/>
      <w:bookmarkEnd w:id="9"/>
      <w:r>
        <w:rPr>
          <w:color w:val="585858"/>
        </w:rPr>
        <w:t>Know</w:t>
      </w:r>
      <w:r>
        <w:rPr>
          <w:color w:val="585858"/>
        </w:rPr>
        <w:t>ledge Management and Communication</w:t>
      </w:r>
      <w:r>
        <w:rPr>
          <w:color w:val="585858"/>
          <w:spacing w:val="-4"/>
        </w:rPr>
        <w:t> </w:t>
      </w:r>
      <w:r>
        <w:rPr>
          <w:color w:val="585858"/>
        </w:rPr>
        <w:t>Framework</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1"/>
        <w:rPr>
          <w:b/>
          <w:sz w:val="41"/>
        </w:rPr>
      </w:pPr>
    </w:p>
    <w:p>
      <w:pPr>
        <w:pStyle w:val="Heading4"/>
        <w:spacing w:before="1"/>
        <w:jc w:val="both"/>
      </w:pPr>
      <w:r>
        <w:rPr>
          <w:color w:val="585858"/>
        </w:rPr>
        <w:t>Figure 12: AU-EU Knowledge Management and Communication Framework (KMCF)</w:t>
      </w:r>
    </w:p>
    <w:p>
      <w:pPr>
        <w:pStyle w:val="BodyText"/>
        <w:spacing w:before="3"/>
        <w:rPr>
          <w:b/>
          <w:sz w:val="31"/>
        </w:rPr>
      </w:pPr>
    </w:p>
    <w:p>
      <w:pPr>
        <w:pStyle w:val="BodyText"/>
        <w:spacing w:line="259" w:lineRule="auto"/>
        <w:ind w:left="560" w:right="105"/>
        <w:jc w:val="both"/>
      </w:pPr>
      <w:r>
        <w:rPr>
          <w:color w:val="585858"/>
        </w:rPr>
        <w:t>An AU-EU Knowledge Management and Communication Framework (KMCF) is a coordinated combination of knowledge management and communication methods, technologies and networks that exist already, or which are developed and applied in a</w:t>
      </w:r>
      <w:r>
        <w:rPr>
          <w:color w:val="585858"/>
          <w:spacing w:val="-8"/>
        </w:rPr>
        <w:t> </w:t>
      </w:r>
      <w:r>
        <w:rPr>
          <w:color w:val="585858"/>
        </w:rPr>
        <w:t>PIMC.</w:t>
      </w:r>
    </w:p>
    <w:p>
      <w:pPr>
        <w:pStyle w:val="BodyText"/>
        <w:spacing w:line="259" w:lineRule="auto" w:before="160"/>
        <w:ind w:left="560" w:right="105"/>
        <w:jc w:val="both"/>
      </w:pPr>
      <w:r>
        <w:rPr>
          <w:color w:val="585858"/>
        </w:rPr>
        <w:t>The KMCF will be utilized to fulfil specific goals of the LEAP-RE programme and activities of the RE- Alliances after LEAP-RE. These goals include: a) ensuring the continuous and flexible mobilisation of the network of actors in Dialogues for Action towards joint programming and research, b) fostering the creation of need-oriented research and capacity building agendas, c) institutionalising learning, and d) a continuous inclusive knowledge management for an enhanced visibility, dissemination and communication of research</w:t>
      </w:r>
      <w:r>
        <w:rPr>
          <w:color w:val="585858"/>
          <w:spacing w:val="-7"/>
        </w:rPr>
        <w:t> </w:t>
      </w:r>
      <w:r>
        <w:rPr>
          <w:color w:val="585858"/>
        </w:rPr>
        <w:t>outputs.</w:t>
      </w:r>
    </w:p>
    <w:p>
      <w:pPr>
        <w:pStyle w:val="BodyText"/>
        <w:spacing w:line="259" w:lineRule="auto" w:before="158"/>
        <w:ind w:left="560" w:right="105"/>
        <w:jc w:val="both"/>
      </w:pPr>
      <w:r>
        <w:rPr>
          <w:color w:val="585858"/>
        </w:rPr>
        <w:t>LEAP-RE will foster synergies and agreements towards a closer and sustainable collaboration in  knowledge management and communication. E.g. managers of existing data bases will be motivated </w:t>
      </w:r>
      <w:r>
        <w:rPr>
          <w:color w:val="585858"/>
          <w:spacing w:val="-3"/>
        </w:rPr>
        <w:t>to </w:t>
      </w:r>
      <w:r>
        <w:rPr>
          <w:color w:val="585858"/>
        </w:rPr>
        <w:t>collaborate closer and identify gaps in their collaboration as well as for the impact envisaged with the maintenance of a network of data bases and communication activities. A self-sustaining coordination infrastructure as an element of the PIMC’s management and coordination infrastructure beyond LEAP-RE is envisaged.</w:t>
      </w:r>
    </w:p>
    <w:p>
      <w:pPr>
        <w:spacing w:after="0" w:line="259" w:lineRule="auto"/>
        <w:jc w:val="both"/>
        <w:sectPr>
          <w:pgSz w:w="11920" w:h="16850"/>
          <w:pgMar w:header="0" w:footer="803" w:top="960" w:bottom="1360" w:left="1000" w:right="740"/>
        </w:sectPr>
      </w:pPr>
    </w:p>
    <w:p>
      <w:pPr>
        <w:pStyle w:val="Heading1"/>
        <w:spacing w:before="21"/>
        <w:ind w:left="560" w:firstLine="0"/>
      </w:pPr>
      <w:r>
        <w:rPr>
          <w:color w:val="585858"/>
        </w:rPr>
        <w:t>KMCF elements in the PIMC1 on the operational level</w:t>
      </w:r>
    </w:p>
    <w:p>
      <w:pPr>
        <w:pStyle w:val="Heading4"/>
        <w:spacing w:before="186"/>
        <w:ind w:left="560"/>
      </w:pPr>
      <w:r>
        <w:rPr>
          <w:color w:val="585858"/>
        </w:rPr>
        <w:t>PIMC1 Segment 1: Sorting House II</w:t>
      </w:r>
    </w:p>
    <w:p>
      <w:pPr>
        <w:pStyle w:val="ListParagraph"/>
        <w:numPr>
          <w:ilvl w:val="1"/>
          <w:numId w:val="8"/>
        </w:numPr>
        <w:tabs>
          <w:tab w:pos="1210" w:val="left" w:leader="none"/>
          <w:tab w:pos="1211" w:val="left" w:leader="none"/>
        </w:tabs>
        <w:spacing w:line="240" w:lineRule="auto" w:before="0" w:after="0"/>
        <w:ind w:left="1210" w:right="0" w:hanging="357"/>
        <w:jc w:val="left"/>
        <w:rPr>
          <w:sz w:val="22"/>
        </w:rPr>
      </w:pPr>
      <w:r>
        <w:rPr>
          <w:color w:val="585858"/>
          <w:sz w:val="22"/>
        </w:rPr>
        <w:t>Reflection process with stakeholders (workshops, consultations and M&amp;E</w:t>
      </w:r>
      <w:r>
        <w:rPr>
          <w:color w:val="585858"/>
          <w:spacing w:val="-13"/>
          <w:sz w:val="22"/>
        </w:rPr>
        <w:t> </w:t>
      </w:r>
      <w:r>
        <w:rPr>
          <w:color w:val="585858"/>
          <w:sz w:val="22"/>
        </w:rPr>
        <w:t>outputs)</w:t>
      </w:r>
    </w:p>
    <w:p>
      <w:pPr>
        <w:pStyle w:val="ListParagraph"/>
        <w:numPr>
          <w:ilvl w:val="1"/>
          <w:numId w:val="8"/>
        </w:numPr>
        <w:tabs>
          <w:tab w:pos="1210" w:val="left" w:leader="none"/>
          <w:tab w:pos="1211" w:val="left" w:leader="none"/>
        </w:tabs>
        <w:spacing w:line="240" w:lineRule="auto" w:before="1" w:after="0"/>
        <w:ind w:left="1210" w:right="0" w:hanging="357"/>
        <w:jc w:val="left"/>
        <w:rPr>
          <w:sz w:val="22"/>
        </w:rPr>
      </w:pPr>
      <w:r>
        <w:rPr>
          <w:color w:val="585858"/>
          <w:sz w:val="22"/>
        </w:rPr>
        <w:t>Draft TCIP1 and</w:t>
      </w:r>
      <w:r>
        <w:rPr>
          <w:color w:val="585858"/>
          <w:spacing w:val="-6"/>
          <w:sz w:val="22"/>
        </w:rPr>
        <w:t> </w:t>
      </w:r>
      <w:r>
        <w:rPr>
          <w:color w:val="585858"/>
          <w:sz w:val="22"/>
        </w:rPr>
        <w:t>PIMC1</w:t>
      </w:r>
    </w:p>
    <w:p>
      <w:pPr>
        <w:pStyle w:val="ListParagraph"/>
        <w:numPr>
          <w:ilvl w:val="1"/>
          <w:numId w:val="8"/>
        </w:numPr>
        <w:tabs>
          <w:tab w:pos="1210" w:val="left" w:leader="none"/>
          <w:tab w:pos="1211" w:val="left" w:leader="none"/>
        </w:tabs>
        <w:spacing w:line="240" w:lineRule="auto" w:before="0" w:after="0"/>
        <w:ind w:left="1210" w:right="0" w:hanging="357"/>
        <w:jc w:val="left"/>
        <w:rPr>
          <w:sz w:val="22"/>
        </w:rPr>
      </w:pPr>
      <w:r>
        <w:rPr>
          <w:color w:val="585858"/>
          <w:sz w:val="22"/>
        </w:rPr>
        <w:t>Organising the first PIMC1 funders meeting (by the</w:t>
      </w:r>
      <w:r>
        <w:rPr>
          <w:color w:val="585858"/>
          <w:spacing w:val="-11"/>
          <w:sz w:val="22"/>
        </w:rPr>
        <w:t> </w:t>
      </w:r>
      <w:r>
        <w:rPr>
          <w:color w:val="585858"/>
          <w:sz w:val="22"/>
        </w:rPr>
        <w:t>CoSe)</w:t>
      </w:r>
    </w:p>
    <w:p>
      <w:pPr>
        <w:pStyle w:val="Heading4"/>
        <w:ind w:left="560"/>
      </w:pPr>
      <w:r>
        <w:rPr>
          <w:color w:val="585858"/>
        </w:rPr>
        <w:t>PIMC1 Segment 2: Dialogues for Action</w:t>
      </w:r>
    </w:p>
    <w:p>
      <w:pPr>
        <w:pStyle w:val="ListParagraph"/>
        <w:numPr>
          <w:ilvl w:val="1"/>
          <w:numId w:val="8"/>
        </w:numPr>
        <w:tabs>
          <w:tab w:pos="1210" w:val="left" w:leader="none"/>
          <w:tab w:pos="1211" w:val="left" w:leader="none"/>
        </w:tabs>
        <w:spacing w:line="240" w:lineRule="auto" w:before="0" w:after="0"/>
        <w:ind w:left="1210" w:right="265" w:hanging="357"/>
        <w:jc w:val="left"/>
        <w:rPr>
          <w:sz w:val="22"/>
        </w:rPr>
      </w:pPr>
      <w:r>
        <w:rPr/>
        <w:drawing>
          <wp:anchor distT="0" distB="0" distL="0" distR="0" allowOverlap="1" layoutInCell="1" locked="0" behindDoc="1" simplePos="0" relativeHeight="268401887">
            <wp:simplePos x="0" y="0"/>
            <wp:positionH relativeFrom="page">
              <wp:posOffset>1264019</wp:posOffset>
            </wp:positionH>
            <wp:positionV relativeFrom="paragraph">
              <wp:posOffset>303829</wp:posOffset>
            </wp:positionV>
            <wp:extent cx="5299721" cy="5650134"/>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8" cstate="print"/>
                    <a:stretch>
                      <a:fillRect/>
                    </a:stretch>
                  </pic:blipFill>
                  <pic:spPr>
                    <a:xfrm>
                      <a:off x="0" y="0"/>
                      <a:ext cx="5299721" cy="5650134"/>
                    </a:xfrm>
                    <a:prstGeom prst="rect">
                      <a:avLst/>
                    </a:prstGeom>
                  </pic:spPr>
                </pic:pic>
              </a:graphicData>
            </a:graphic>
          </wp:anchor>
        </w:drawing>
      </w:r>
      <w:r>
        <w:rPr>
          <w:color w:val="585858"/>
          <w:sz w:val="22"/>
        </w:rPr>
        <w:t>Physical and virtual meetings of actors for network building and the development of agendas and pathways as well as for funding decisions for R&amp;I projects (focussed roundtables, workshops, consultations)</w:t>
      </w:r>
    </w:p>
    <w:p>
      <w:pPr>
        <w:pStyle w:val="ListParagraph"/>
        <w:numPr>
          <w:ilvl w:val="1"/>
          <w:numId w:val="8"/>
        </w:numPr>
        <w:tabs>
          <w:tab w:pos="1210" w:val="left" w:leader="none"/>
          <w:tab w:pos="1211" w:val="left" w:leader="none"/>
        </w:tabs>
        <w:spacing w:line="240" w:lineRule="auto" w:before="1" w:after="0"/>
        <w:ind w:left="1210" w:right="0" w:hanging="357"/>
        <w:jc w:val="left"/>
        <w:rPr>
          <w:sz w:val="22"/>
        </w:rPr>
      </w:pPr>
      <w:r>
        <w:rPr>
          <w:color w:val="585858"/>
          <w:sz w:val="22"/>
        </w:rPr>
        <w:t>Initiating networks</w:t>
      </w:r>
      <w:r>
        <w:rPr>
          <w:color w:val="585858"/>
          <w:spacing w:val="-4"/>
          <w:sz w:val="22"/>
        </w:rPr>
        <w:t> </w:t>
      </w:r>
      <w:r>
        <w:rPr>
          <w:color w:val="585858"/>
          <w:sz w:val="22"/>
        </w:rPr>
        <w:t>of:</w:t>
      </w:r>
    </w:p>
    <w:p>
      <w:pPr>
        <w:pStyle w:val="ListParagraph"/>
        <w:numPr>
          <w:ilvl w:val="2"/>
          <w:numId w:val="8"/>
        </w:numPr>
        <w:tabs>
          <w:tab w:pos="1573" w:val="left" w:leader="none"/>
          <w:tab w:pos="1574" w:val="left" w:leader="none"/>
        </w:tabs>
        <w:spacing w:line="271" w:lineRule="exact" w:before="0" w:after="0"/>
        <w:ind w:left="1573" w:right="0" w:hanging="360"/>
        <w:jc w:val="left"/>
        <w:rPr>
          <w:sz w:val="22"/>
        </w:rPr>
      </w:pPr>
      <w:r>
        <w:rPr>
          <w:color w:val="585858"/>
          <w:sz w:val="22"/>
        </w:rPr>
        <w:t>Funders</w:t>
      </w:r>
    </w:p>
    <w:p>
      <w:pPr>
        <w:pStyle w:val="ListParagraph"/>
        <w:numPr>
          <w:ilvl w:val="2"/>
          <w:numId w:val="8"/>
        </w:numPr>
        <w:tabs>
          <w:tab w:pos="1573" w:val="left" w:leader="none"/>
          <w:tab w:pos="1574" w:val="left" w:leader="none"/>
        </w:tabs>
        <w:spacing w:line="268" w:lineRule="exact" w:before="0" w:after="0"/>
        <w:ind w:left="1573" w:right="0" w:hanging="360"/>
        <w:jc w:val="left"/>
        <w:rPr>
          <w:sz w:val="22"/>
        </w:rPr>
      </w:pPr>
      <w:r>
        <w:rPr>
          <w:color w:val="585858"/>
          <w:sz w:val="22"/>
        </w:rPr>
        <w:t>Researchers</w:t>
      </w:r>
    </w:p>
    <w:p>
      <w:pPr>
        <w:pStyle w:val="ListParagraph"/>
        <w:numPr>
          <w:ilvl w:val="2"/>
          <w:numId w:val="8"/>
        </w:numPr>
        <w:tabs>
          <w:tab w:pos="1573" w:val="left" w:leader="none"/>
          <w:tab w:pos="1574" w:val="left" w:leader="none"/>
        </w:tabs>
        <w:spacing w:line="269" w:lineRule="exact" w:before="0" w:after="0"/>
        <w:ind w:left="1573" w:right="0" w:hanging="360"/>
        <w:jc w:val="left"/>
        <w:rPr>
          <w:sz w:val="22"/>
        </w:rPr>
      </w:pPr>
      <w:r>
        <w:rPr>
          <w:color w:val="585858"/>
          <w:sz w:val="22"/>
        </w:rPr>
        <w:t>Entrepreneurs/innovators</w:t>
      </w:r>
    </w:p>
    <w:p>
      <w:pPr>
        <w:pStyle w:val="ListParagraph"/>
        <w:numPr>
          <w:ilvl w:val="2"/>
          <w:numId w:val="8"/>
        </w:numPr>
        <w:tabs>
          <w:tab w:pos="1573" w:val="left" w:leader="none"/>
          <w:tab w:pos="1574" w:val="left" w:leader="none"/>
        </w:tabs>
        <w:spacing w:line="269" w:lineRule="exact" w:before="0" w:after="0"/>
        <w:ind w:left="1573" w:right="0" w:hanging="360"/>
        <w:jc w:val="left"/>
        <w:rPr>
          <w:sz w:val="22"/>
        </w:rPr>
      </w:pPr>
      <w:r>
        <w:rPr>
          <w:color w:val="585858"/>
          <w:sz w:val="22"/>
        </w:rPr>
        <w:t>Decision</w:t>
      </w:r>
      <w:r>
        <w:rPr>
          <w:color w:val="585858"/>
          <w:spacing w:val="-3"/>
          <w:sz w:val="22"/>
        </w:rPr>
        <w:t> </w:t>
      </w:r>
      <w:r>
        <w:rPr>
          <w:color w:val="585858"/>
          <w:sz w:val="22"/>
        </w:rPr>
        <w:t>makers</w:t>
      </w:r>
    </w:p>
    <w:p>
      <w:pPr>
        <w:pStyle w:val="BodyText"/>
        <w:ind w:left="1213" w:right="379"/>
      </w:pPr>
      <w:r>
        <w:rPr>
          <w:rFonts w:ascii="Wingdings 3" w:hAnsi="Wingdings 3"/>
          <w:color w:val="585858"/>
        </w:rPr>
        <w:t></w:t>
      </w:r>
      <w:r>
        <w:rPr>
          <w:rFonts w:ascii="Times New Roman" w:hAnsi="Times New Roman"/>
          <w:color w:val="585858"/>
        </w:rPr>
        <w:t> </w:t>
      </w:r>
      <w:r>
        <w:rPr>
          <w:color w:val="585858"/>
        </w:rPr>
        <w:t>maintaining the networks with adequate social media principles, an address data base where necessary and regular face-to-face meeting</w:t>
      </w:r>
    </w:p>
    <w:p>
      <w:pPr>
        <w:pStyle w:val="ListParagraph"/>
        <w:numPr>
          <w:ilvl w:val="1"/>
          <w:numId w:val="8"/>
        </w:numPr>
        <w:tabs>
          <w:tab w:pos="1210" w:val="left" w:leader="none"/>
          <w:tab w:pos="1211" w:val="left" w:leader="none"/>
        </w:tabs>
        <w:spacing w:line="240" w:lineRule="auto" w:before="0" w:after="0"/>
        <w:ind w:left="1210" w:right="295" w:hanging="357"/>
        <w:jc w:val="left"/>
        <w:rPr>
          <w:sz w:val="22"/>
        </w:rPr>
      </w:pPr>
      <w:r>
        <w:rPr>
          <w:color w:val="585858"/>
          <w:sz w:val="22"/>
        </w:rPr>
        <w:t>Communication concepts for research uptake on the project and programme level as an element of funding schemes for</w:t>
      </w:r>
      <w:r>
        <w:rPr>
          <w:color w:val="585858"/>
          <w:spacing w:val="-6"/>
          <w:sz w:val="22"/>
        </w:rPr>
        <w:t> </w:t>
      </w:r>
      <w:r>
        <w:rPr>
          <w:color w:val="585858"/>
          <w:sz w:val="22"/>
        </w:rPr>
        <w:t>R&amp;I</w:t>
      </w:r>
    </w:p>
    <w:p>
      <w:pPr>
        <w:pStyle w:val="ListParagraph"/>
        <w:numPr>
          <w:ilvl w:val="1"/>
          <w:numId w:val="8"/>
        </w:numPr>
        <w:tabs>
          <w:tab w:pos="1210" w:val="left" w:leader="none"/>
          <w:tab w:pos="1211" w:val="left" w:leader="none"/>
        </w:tabs>
        <w:spacing w:line="240" w:lineRule="auto" w:before="0" w:after="0"/>
        <w:ind w:left="1210" w:right="0" w:hanging="357"/>
        <w:jc w:val="left"/>
        <w:rPr>
          <w:sz w:val="22"/>
        </w:rPr>
      </w:pPr>
      <w:r>
        <w:rPr>
          <w:color w:val="585858"/>
          <w:sz w:val="22"/>
        </w:rPr>
        <w:t>Creating and a data base for research</w:t>
      </w:r>
      <w:r>
        <w:rPr>
          <w:color w:val="585858"/>
          <w:spacing w:val="-4"/>
          <w:sz w:val="22"/>
        </w:rPr>
        <w:t> </w:t>
      </w:r>
      <w:r>
        <w:rPr>
          <w:color w:val="585858"/>
          <w:sz w:val="22"/>
        </w:rPr>
        <w:t>results</w:t>
      </w:r>
    </w:p>
    <w:p>
      <w:pPr>
        <w:pStyle w:val="ListParagraph"/>
        <w:numPr>
          <w:ilvl w:val="1"/>
          <w:numId w:val="8"/>
        </w:numPr>
        <w:tabs>
          <w:tab w:pos="1210" w:val="left" w:leader="none"/>
          <w:tab w:pos="1211" w:val="left" w:leader="none"/>
        </w:tabs>
        <w:spacing w:line="237" w:lineRule="auto" w:before="0" w:after="0"/>
        <w:ind w:left="1210" w:right="233" w:hanging="357"/>
        <w:jc w:val="left"/>
        <w:rPr>
          <w:sz w:val="22"/>
        </w:rPr>
      </w:pPr>
      <w:r>
        <w:rPr>
          <w:color w:val="585858"/>
          <w:sz w:val="22"/>
        </w:rPr>
        <w:t>Creating a network of data base managers for establishing interfaces where needed and fostering collaboration</w:t>
      </w:r>
    </w:p>
    <w:p>
      <w:pPr>
        <w:pStyle w:val="ListParagraph"/>
        <w:numPr>
          <w:ilvl w:val="1"/>
          <w:numId w:val="8"/>
        </w:numPr>
        <w:tabs>
          <w:tab w:pos="1210" w:val="left" w:leader="none"/>
          <w:tab w:pos="1211" w:val="left" w:leader="none"/>
        </w:tabs>
        <w:spacing w:line="240" w:lineRule="auto" w:before="2" w:after="0"/>
        <w:ind w:left="1210" w:right="863" w:hanging="357"/>
        <w:jc w:val="left"/>
        <w:rPr>
          <w:sz w:val="22"/>
        </w:rPr>
      </w:pPr>
      <w:r>
        <w:rPr>
          <w:color w:val="585858"/>
          <w:sz w:val="22"/>
        </w:rPr>
        <w:t>Initiating a CoSe with central functions and ‘infrastructure’ like data bases, communication channels and media as well as for initiating and maintaining network activities and the management of the Sorting Houses I and</w:t>
      </w:r>
      <w:r>
        <w:rPr>
          <w:color w:val="585858"/>
          <w:spacing w:val="-9"/>
          <w:sz w:val="22"/>
        </w:rPr>
        <w:t> </w:t>
      </w:r>
      <w:r>
        <w:rPr>
          <w:color w:val="585858"/>
          <w:sz w:val="22"/>
        </w:rPr>
        <w:t>II.</w:t>
      </w:r>
    </w:p>
    <w:p>
      <w:pPr>
        <w:pStyle w:val="Heading4"/>
        <w:spacing w:before="1"/>
        <w:ind w:left="560"/>
      </w:pPr>
      <w:r>
        <w:rPr>
          <w:color w:val="585858"/>
        </w:rPr>
        <w:t>PIMC1 Segment 3: Sorting House I</w:t>
      </w:r>
    </w:p>
    <w:p>
      <w:pPr>
        <w:pStyle w:val="ListParagraph"/>
        <w:numPr>
          <w:ilvl w:val="1"/>
          <w:numId w:val="8"/>
        </w:numPr>
        <w:tabs>
          <w:tab w:pos="1210" w:val="left" w:leader="none"/>
          <w:tab w:pos="1211" w:val="left" w:leader="none"/>
        </w:tabs>
        <w:spacing w:line="240" w:lineRule="auto" w:before="0" w:after="0"/>
        <w:ind w:left="1210" w:right="0" w:hanging="357"/>
        <w:jc w:val="left"/>
        <w:rPr>
          <w:sz w:val="22"/>
        </w:rPr>
      </w:pPr>
      <w:r>
        <w:rPr>
          <w:color w:val="585858"/>
          <w:sz w:val="22"/>
        </w:rPr>
        <w:t>Reformatted science based recommendations for action and dialogues with target</w:t>
      </w:r>
      <w:r>
        <w:rPr>
          <w:color w:val="585858"/>
          <w:spacing w:val="-15"/>
          <w:sz w:val="22"/>
        </w:rPr>
        <w:t> </w:t>
      </w:r>
      <w:r>
        <w:rPr>
          <w:color w:val="585858"/>
          <w:sz w:val="22"/>
        </w:rPr>
        <w:t>groups</w:t>
      </w:r>
    </w:p>
    <w:p>
      <w:pPr>
        <w:pStyle w:val="ListParagraph"/>
        <w:numPr>
          <w:ilvl w:val="1"/>
          <w:numId w:val="8"/>
        </w:numPr>
        <w:tabs>
          <w:tab w:pos="1210" w:val="left" w:leader="none"/>
          <w:tab w:pos="1211" w:val="left" w:leader="none"/>
        </w:tabs>
        <w:spacing w:line="240" w:lineRule="auto" w:before="0" w:after="0"/>
        <w:ind w:left="1210" w:right="169" w:hanging="357"/>
        <w:jc w:val="left"/>
        <w:rPr>
          <w:sz w:val="22"/>
        </w:rPr>
      </w:pPr>
      <w:r>
        <w:rPr>
          <w:color w:val="585858"/>
          <w:sz w:val="22"/>
        </w:rPr>
        <w:t>Media for the communication with target groups such as videos, radio programmes, schools and training institutions, participatory research etc. addressing producers as well as decision makers in the</w:t>
      </w:r>
      <w:r>
        <w:rPr>
          <w:color w:val="585858"/>
          <w:spacing w:val="-1"/>
          <w:sz w:val="22"/>
        </w:rPr>
        <w:t> </w:t>
      </w:r>
      <w:r>
        <w:rPr>
          <w:color w:val="585858"/>
          <w:sz w:val="22"/>
        </w:rPr>
        <w:t>RE-Alliance(s)</w:t>
      </w:r>
    </w:p>
    <w:p>
      <w:pPr>
        <w:pStyle w:val="Heading4"/>
        <w:spacing w:line="267" w:lineRule="exact" w:before="1"/>
        <w:ind w:left="560"/>
      </w:pPr>
      <w:r>
        <w:rPr>
          <w:color w:val="585858"/>
        </w:rPr>
        <w:t>PIMC1 Segment 4: System Improvement</w:t>
      </w:r>
    </w:p>
    <w:p>
      <w:pPr>
        <w:pStyle w:val="ListParagraph"/>
        <w:numPr>
          <w:ilvl w:val="1"/>
          <w:numId w:val="8"/>
        </w:numPr>
        <w:tabs>
          <w:tab w:pos="1210" w:val="left" w:leader="none"/>
          <w:tab w:pos="1211" w:val="left" w:leader="none"/>
        </w:tabs>
        <w:spacing w:line="267" w:lineRule="exact" w:before="0" w:after="0"/>
        <w:ind w:left="1210" w:right="0" w:hanging="357"/>
        <w:jc w:val="left"/>
        <w:rPr>
          <w:sz w:val="22"/>
        </w:rPr>
      </w:pPr>
      <w:r>
        <w:rPr>
          <w:color w:val="585858"/>
          <w:sz w:val="22"/>
        </w:rPr>
        <w:t>Fostering of local labs and innovation</w:t>
      </w:r>
      <w:r>
        <w:rPr>
          <w:color w:val="585858"/>
          <w:spacing w:val="-6"/>
          <w:sz w:val="22"/>
        </w:rPr>
        <w:t> </w:t>
      </w:r>
      <w:r>
        <w:rPr>
          <w:color w:val="585858"/>
          <w:sz w:val="22"/>
        </w:rPr>
        <w:t>centers</w:t>
      </w:r>
    </w:p>
    <w:p>
      <w:pPr>
        <w:pStyle w:val="ListParagraph"/>
        <w:numPr>
          <w:ilvl w:val="1"/>
          <w:numId w:val="8"/>
        </w:numPr>
        <w:tabs>
          <w:tab w:pos="1210" w:val="left" w:leader="none"/>
          <w:tab w:pos="1211" w:val="left" w:leader="none"/>
        </w:tabs>
        <w:spacing w:line="240" w:lineRule="auto" w:before="0" w:after="0"/>
        <w:ind w:left="1210" w:right="0" w:hanging="357"/>
        <w:jc w:val="left"/>
        <w:rPr>
          <w:sz w:val="22"/>
        </w:rPr>
      </w:pPr>
      <w:r>
        <w:rPr>
          <w:color w:val="585858"/>
          <w:sz w:val="22"/>
        </w:rPr>
        <w:t>Establishing local revolving funds for</w:t>
      </w:r>
      <w:r>
        <w:rPr>
          <w:color w:val="585858"/>
          <w:spacing w:val="-8"/>
          <w:sz w:val="22"/>
        </w:rPr>
        <w:t> </w:t>
      </w:r>
      <w:r>
        <w:rPr>
          <w:color w:val="585858"/>
          <w:sz w:val="22"/>
        </w:rPr>
        <w:t>R&amp;I</w:t>
      </w:r>
    </w:p>
    <w:p>
      <w:pPr>
        <w:pStyle w:val="ListParagraph"/>
        <w:numPr>
          <w:ilvl w:val="1"/>
          <w:numId w:val="8"/>
        </w:numPr>
        <w:tabs>
          <w:tab w:pos="1210" w:val="left" w:leader="none"/>
          <w:tab w:pos="1211" w:val="left" w:leader="none"/>
        </w:tabs>
        <w:spacing w:line="240" w:lineRule="auto" w:before="1" w:after="0"/>
        <w:ind w:left="1210" w:right="0" w:hanging="357"/>
        <w:jc w:val="left"/>
        <w:rPr>
          <w:sz w:val="22"/>
        </w:rPr>
      </w:pPr>
      <w:r>
        <w:rPr>
          <w:color w:val="585858"/>
          <w:sz w:val="22"/>
        </w:rPr>
        <w:t>Local network fora about</w:t>
      </w:r>
      <w:r>
        <w:rPr>
          <w:color w:val="585858"/>
          <w:spacing w:val="-3"/>
          <w:sz w:val="22"/>
        </w:rPr>
        <w:t> </w:t>
      </w:r>
      <w:r>
        <w:rPr>
          <w:color w:val="585858"/>
          <w:sz w:val="22"/>
        </w:rPr>
        <w:t>RE</w:t>
      </w:r>
    </w:p>
    <w:p>
      <w:pPr>
        <w:pStyle w:val="ListParagraph"/>
        <w:numPr>
          <w:ilvl w:val="1"/>
          <w:numId w:val="8"/>
        </w:numPr>
        <w:tabs>
          <w:tab w:pos="1210" w:val="left" w:leader="none"/>
          <w:tab w:pos="1211" w:val="left" w:leader="none"/>
        </w:tabs>
        <w:spacing w:line="240" w:lineRule="auto" w:before="0" w:after="0"/>
        <w:ind w:left="1210" w:right="0" w:hanging="357"/>
        <w:jc w:val="left"/>
        <w:rPr>
          <w:sz w:val="22"/>
        </w:rPr>
      </w:pPr>
      <w:r>
        <w:rPr>
          <w:color w:val="585858"/>
          <w:sz w:val="22"/>
        </w:rPr>
        <w:t>Networks of ‘social worker’ for research uptake and capacity</w:t>
      </w:r>
      <w:r>
        <w:rPr>
          <w:color w:val="585858"/>
          <w:spacing w:val="-9"/>
          <w:sz w:val="22"/>
        </w:rPr>
        <w:t> </w:t>
      </w:r>
      <w:r>
        <w:rPr>
          <w:color w:val="585858"/>
          <w:sz w:val="22"/>
        </w:rPr>
        <w:t>building</w:t>
      </w:r>
    </w:p>
    <w:p>
      <w:pPr>
        <w:pStyle w:val="ListParagraph"/>
        <w:numPr>
          <w:ilvl w:val="1"/>
          <w:numId w:val="8"/>
        </w:numPr>
        <w:tabs>
          <w:tab w:pos="1210" w:val="left" w:leader="none"/>
          <w:tab w:pos="1211" w:val="left" w:leader="none"/>
        </w:tabs>
        <w:spacing w:line="240" w:lineRule="auto" w:before="1" w:after="0"/>
        <w:ind w:left="1210" w:right="0" w:hanging="357"/>
        <w:jc w:val="left"/>
        <w:rPr>
          <w:sz w:val="22"/>
        </w:rPr>
      </w:pPr>
      <w:r>
        <w:rPr>
          <w:color w:val="585858"/>
          <w:sz w:val="22"/>
        </w:rPr>
        <w:t>Feedback loops as an element of the M&amp;E system organised by the</w:t>
      </w:r>
      <w:r>
        <w:rPr>
          <w:color w:val="585858"/>
          <w:spacing w:val="-11"/>
          <w:sz w:val="22"/>
        </w:rPr>
        <w:t> </w:t>
      </w:r>
      <w:r>
        <w:rPr>
          <w:color w:val="585858"/>
          <w:sz w:val="22"/>
        </w:rPr>
        <w:t>CoSe</w:t>
      </w:r>
    </w:p>
    <w:p>
      <w:pPr>
        <w:pStyle w:val="BodyText"/>
      </w:pPr>
    </w:p>
    <w:p>
      <w:pPr>
        <w:pStyle w:val="Heading4"/>
        <w:spacing w:before="180"/>
        <w:ind w:left="493"/>
      </w:pPr>
      <w:r>
        <w:rPr>
          <w:rFonts w:ascii="Wingdings 3" w:hAnsi="Wingdings 3"/>
          <w:b w:val="0"/>
          <w:color w:val="00991D"/>
        </w:rPr>
        <w:t></w:t>
      </w:r>
      <w:r>
        <w:rPr>
          <w:rFonts w:ascii="Times New Roman" w:hAnsi="Times New Roman"/>
          <w:b w:val="0"/>
          <w:color w:val="00991D"/>
        </w:rPr>
        <w:t> </w:t>
      </w:r>
      <w:r>
        <w:rPr>
          <w:color w:val="00991D"/>
        </w:rPr>
        <w:t>PRE-LEAP-RE KMCF activities:</w:t>
      </w:r>
    </w:p>
    <w:p>
      <w:pPr>
        <w:pStyle w:val="ListParagraph"/>
        <w:numPr>
          <w:ilvl w:val="0"/>
          <w:numId w:val="9"/>
        </w:numPr>
        <w:tabs>
          <w:tab w:pos="986" w:val="left" w:leader="none"/>
        </w:tabs>
        <w:spacing w:line="240" w:lineRule="auto" w:before="22" w:after="0"/>
        <w:ind w:left="985" w:right="0" w:hanging="144"/>
        <w:jc w:val="left"/>
        <w:rPr>
          <w:color w:val="00991D"/>
          <w:sz w:val="22"/>
        </w:rPr>
      </w:pPr>
      <w:r>
        <w:rPr>
          <w:color w:val="00991D"/>
          <w:sz w:val="22"/>
        </w:rPr>
        <w:t>Round tables and workshops with potential consortium partners and associated partners in</w:t>
      </w:r>
      <w:r>
        <w:rPr>
          <w:color w:val="00991D"/>
          <w:spacing w:val="-20"/>
          <w:sz w:val="22"/>
        </w:rPr>
        <w:t> </w:t>
      </w:r>
      <w:r>
        <w:rPr>
          <w:color w:val="00991D"/>
          <w:sz w:val="22"/>
        </w:rPr>
        <w:t>LEAP-RE</w:t>
      </w:r>
    </w:p>
    <w:p>
      <w:pPr>
        <w:pStyle w:val="ListParagraph"/>
        <w:numPr>
          <w:ilvl w:val="0"/>
          <w:numId w:val="9"/>
        </w:numPr>
        <w:tabs>
          <w:tab w:pos="986" w:val="left" w:leader="none"/>
        </w:tabs>
        <w:spacing w:line="240" w:lineRule="auto" w:before="22" w:after="0"/>
        <w:ind w:left="985" w:right="0" w:hanging="144"/>
        <w:jc w:val="left"/>
        <w:rPr>
          <w:color w:val="00991D"/>
          <w:sz w:val="22"/>
        </w:rPr>
      </w:pPr>
      <w:r>
        <w:rPr>
          <w:color w:val="00991D"/>
          <w:sz w:val="22"/>
        </w:rPr>
        <w:t>Development of M&amp;E instruments (methods and</w:t>
      </w:r>
      <w:r>
        <w:rPr>
          <w:color w:val="00991D"/>
          <w:spacing w:val="-10"/>
          <w:sz w:val="22"/>
        </w:rPr>
        <w:t> </w:t>
      </w:r>
      <w:r>
        <w:rPr>
          <w:color w:val="00991D"/>
          <w:sz w:val="22"/>
        </w:rPr>
        <w:t>technologies)</w:t>
      </w:r>
    </w:p>
    <w:p>
      <w:pPr>
        <w:pStyle w:val="ListParagraph"/>
        <w:numPr>
          <w:ilvl w:val="0"/>
          <w:numId w:val="9"/>
        </w:numPr>
        <w:tabs>
          <w:tab w:pos="986" w:val="left" w:leader="none"/>
        </w:tabs>
        <w:spacing w:line="240" w:lineRule="auto" w:before="22" w:after="0"/>
        <w:ind w:left="985" w:right="0" w:hanging="144"/>
        <w:jc w:val="left"/>
        <w:rPr>
          <w:color w:val="00991D"/>
          <w:sz w:val="22"/>
        </w:rPr>
      </w:pPr>
      <w:r>
        <w:rPr>
          <w:color w:val="00991D"/>
          <w:sz w:val="22"/>
        </w:rPr>
        <w:t>Conceptualising the</w:t>
      </w:r>
      <w:r>
        <w:rPr>
          <w:color w:val="00991D"/>
          <w:spacing w:val="-3"/>
          <w:sz w:val="22"/>
        </w:rPr>
        <w:t> </w:t>
      </w:r>
      <w:r>
        <w:rPr>
          <w:color w:val="00991D"/>
          <w:sz w:val="22"/>
        </w:rPr>
        <w:t>CoSe</w:t>
      </w:r>
    </w:p>
    <w:p>
      <w:pPr>
        <w:pStyle w:val="Heading4"/>
        <w:spacing w:before="22"/>
        <w:ind w:left="493"/>
      </w:pPr>
      <w:r>
        <w:rPr>
          <w:rFonts w:ascii="Wingdings 3" w:hAnsi="Wingdings 3"/>
          <w:b w:val="0"/>
          <w:color w:val="27A1B7"/>
        </w:rPr>
        <w:t></w:t>
      </w:r>
      <w:r>
        <w:rPr>
          <w:rFonts w:ascii="Times New Roman" w:hAnsi="Times New Roman"/>
          <w:b w:val="0"/>
          <w:color w:val="27A1B7"/>
        </w:rPr>
        <w:t> </w:t>
      </w:r>
      <w:r>
        <w:rPr>
          <w:color w:val="27A1B7"/>
        </w:rPr>
        <w:t>Pre-identified LEAP-RE KMCF activities:</w:t>
      </w:r>
    </w:p>
    <w:p>
      <w:pPr>
        <w:pStyle w:val="ListParagraph"/>
        <w:numPr>
          <w:ilvl w:val="0"/>
          <w:numId w:val="9"/>
        </w:numPr>
        <w:tabs>
          <w:tab w:pos="986" w:val="left" w:leader="none"/>
        </w:tabs>
        <w:spacing w:line="259" w:lineRule="auto" w:before="19" w:after="0"/>
        <w:ind w:left="985" w:right="106" w:hanging="144"/>
        <w:jc w:val="left"/>
        <w:rPr>
          <w:color w:val="27A1B7"/>
          <w:sz w:val="22"/>
        </w:rPr>
      </w:pPr>
      <w:r>
        <w:rPr>
          <w:color w:val="27A1B7"/>
          <w:sz w:val="22"/>
        </w:rPr>
        <w:t>Regular face-to-face and virtual meetings and workshops of actor groups like governments and ministries, funders, entrepreneurs, innovation hubs, researchers, data base</w:t>
      </w:r>
      <w:r>
        <w:rPr>
          <w:color w:val="27A1B7"/>
          <w:spacing w:val="-13"/>
          <w:sz w:val="22"/>
        </w:rPr>
        <w:t> </w:t>
      </w:r>
      <w:r>
        <w:rPr>
          <w:color w:val="27A1B7"/>
          <w:sz w:val="22"/>
        </w:rPr>
        <w:t>managers</w:t>
      </w:r>
    </w:p>
    <w:p>
      <w:pPr>
        <w:pStyle w:val="ListParagraph"/>
        <w:numPr>
          <w:ilvl w:val="0"/>
          <w:numId w:val="9"/>
        </w:numPr>
        <w:tabs>
          <w:tab w:pos="986" w:val="left" w:leader="none"/>
        </w:tabs>
        <w:spacing w:line="240" w:lineRule="auto" w:before="1" w:after="0"/>
        <w:ind w:left="985" w:right="0" w:hanging="144"/>
        <w:jc w:val="left"/>
        <w:rPr>
          <w:color w:val="27A1B7"/>
          <w:sz w:val="22"/>
        </w:rPr>
      </w:pPr>
      <w:r>
        <w:rPr>
          <w:color w:val="27A1B7"/>
          <w:sz w:val="22"/>
        </w:rPr>
        <w:t>Development of communication elements</w:t>
      </w:r>
      <w:r>
        <w:rPr>
          <w:color w:val="27A1B7"/>
          <w:spacing w:val="-12"/>
          <w:sz w:val="22"/>
        </w:rPr>
        <w:t> </w:t>
      </w:r>
      <w:r>
        <w:rPr>
          <w:color w:val="27A1B7"/>
          <w:sz w:val="22"/>
        </w:rPr>
        <w:t>:</w:t>
      </w:r>
    </w:p>
    <w:p>
      <w:pPr>
        <w:pStyle w:val="ListParagraph"/>
        <w:numPr>
          <w:ilvl w:val="0"/>
          <w:numId w:val="10"/>
        </w:numPr>
        <w:tabs>
          <w:tab w:pos="1266" w:val="left" w:leader="none"/>
        </w:tabs>
        <w:spacing w:line="259" w:lineRule="auto" w:before="22" w:after="0"/>
        <w:ind w:left="1266" w:right="110" w:hanging="281"/>
        <w:jc w:val="both"/>
        <w:rPr>
          <w:sz w:val="22"/>
        </w:rPr>
      </w:pPr>
      <w:r>
        <w:rPr>
          <w:color w:val="27A1B7"/>
          <w:sz w:val="22"/>
        </w:rPr>
        <w:t>Conceptualising and initiating regular face-to-face and virtual meetings and workshops of actor groups like governments and ministries, funders, entrepreneurs, innovation hubs, researchers, data base</w:t>
      </w:r>
      <w:r>
        <w:rPr>
          <w:color w:val="27A1B7"/>
          <w:spacing w:val="-3"/>
          <w:sz w:val="22"/>
        </w:rPr>
        <w:t> </w:t>
      </w:r>
      <w:r>
        <w:rPr>
          <w:color w:val="27A1B7"/>
          <w:sz w:val="22"/>
        </w:rPr>
        <w:t>managers</w:t>
      </w:r>
    </w:p>
    <w:p>
      <w:pPr>
        <w:pStyle w:val="ListParagraph"/>
        <w:numPr>
          <w:ilvl w:val="0"/>
          <w:numId w:val="10"/>
        </w:numPr>
        <w:tabs>
          <w:tab w:pos="1266" w:val="left" w:leader="none"/>
        </w:tabs>
        <w:spacing w:line="259" w:lineRule="auto" w:before="0" w:after="0"/>
        <w:ind w:left="1266" w:right="108" w:hanging="281"/>
        <w:jc w:val="both"/>
        <w:rPr>
          <w:sz w:val="22"/>
        </w:rPr>
      </w:pPr>
      <w:r>
        <w:rPr>
          <w:color w:val="27A1B7"/>
          <w:sz w:val="22"/>
        </w:rPr>
        <w:t>A data base or interfaces to existing data bases for the long-term establishment of an infrastructure for displaying LEAP-RE research output and that of following</w:t>
      </w:r>
      <w:r>
        <w:rPr>
          <w:color w:val="27A1B7"/>
          <w:spacing w:val="-21"/>
          <w:sz w:val="22"/>
        </w:rPr>
        <w:t> </w:t>
      </w:r>
      <w:r>
        <w:rPr>
          <w:color w:val="27A1B7"/>
          <w:sz w:val="22"/>
        </w:rPr>
        <w:t>PIMCs.</w:t>
      </w:r>
    </w:p>
    <w:p>
      <w:pPr>
        <w:spacing w:after="0" w:line="259" w:lineRule="auto"/>
        <w:jc w:val="both"/>
        <w:rPr>
          <w:sz w:val="22"/>
        </w:rPr>
        <w:sectPr>
          <w:pgSz w:w="11920" w:h="16850"/>
          <w:pgMar w:header="0" w:footer="803" w:top="1420" w:bottom="1360" w:left="1000" w:right="740"/>
        </w:sectPr>
      </w:pPr>
    </w:p>
    <w:p>
      <w:pPr>
        <w:pStyle w:val="ListParagraph"/>
        <w:numPr>
          <w:ilvl w:val="0"/>
          <w:numId w:val="10"/>
        </w:numPr>
        <w:tabs>
          <w:tab w:pos="1266" w:val="left" w:leader="none"/>
        </w:tabs>
        <w:spacing w:line="259" w:lineRule="auto" w:before="32" w:after="0"/>
        <w:ind w:left="1266" w:right="113" w:hanging="281"/>
        <w:jc w:val="left"/>
        <w:rPr>
          <w:sz w:val="22"/>
        </w:rPr>
      </w:pPr>
      <w:r>
        <w:rPr>
          <w:color w:val="27A1B7"/>
          <w:sz w:val="22"/>
        </w:rPr>
        <w:t>A communication concept and infrastructure for the Sorting Houses I &amp; II including regular meetings and</w:t>
      </w:r>
      <w:r>
        <w:rPr>
          <w:color w:val="27A1B7"/>
          <w:spacing w:val="-2"/>
          <w:sz w:val="22"/>
        </w:rPr>
        <w:t> </w:t>
      </w:r>
      <w:r>
        <w:rPr>
          <w:color w:val="27A1B7"/>
          <w:sz w:val="22"/>
        </w:rPr>
        <w:t>workshops.</w:t>
      </w:r>
    </w:p>
    <w:p>
      <w:pPr>
        <w:pStyle w:val="ListParagraph"/>
        <w:numPr>
          <w:ilvl w:val="0"/>
          <w:numId w:val="10"/>
        </w:numPr>
        <w:tabs>
          <w:tab w:pos="1266" w:val="left" w:leader="none"/>
        </w:tabs>
        <w:spacing w:line="259" w:lineRule="auto" w:before="0" w:after="0"/>
        <w:ind w:left="1266" w:right="108" w:hanging="281"/>
        <w:jc w:val="left"/>
        <w:rPr>
          <w:sz w:val="22"/>
        </w:rPr>
      </w:pPr>
      <w:r>
        <w:rPr>
          <w:color w:val="27A1B7"/>
          <w:sz w:val="22"/>
        </w:rPr>
        <w:t>A communication concept as a part of the M&amp;C infrastructure of LEAP-RE towards a long-term process of future</w:t>
      </w:r>
      <w:r>
        <w:rPr>
          <w:color w:val="27A1B7"/>
          <w:spacing w:val="-9"/>
          <w:sz w:val="22"/>
        </w:rPr>
        <w:t> </w:t>
      </w:r>
      <w:r>
        <w:rPr>
          <w:color w:val="27A1B7"/>
          <w:sz w:val="22"/>
        </w:rPr>
        <w:t>PIMCs</w:t>
      </w:r>
    </w:p>
    <w:p>
      <w:pPr>
        <w:pStyle w:val="ListParagraph"/>
        <w:numPr>
          <w:ilvl w:val="0"/>
          <w:numId w:val="9"/>
        </w:numPr>
        <w:tabs>
          <w:tab w:pos="986" w:val="left" w:leader="none"/>
        </w:tabs>
        <w:spacing w:line="240" w:lineRule="auto" w:before="0" w:after="0"/>
        <w:ind w:left="985" w:right="0" w:hanging="144"/>
        <w:jc w:val="left"/>
        <w:rPr>
          <w:color w:val="27A1B7"/>
          <w:sz w:val="22"/>
        </w:rPr>
      </w:pPr>
      <w:r>
        <w:rPr>
          <w:color w:val="27A1B7"/>
          <w:sz w:val="22"/>
        </w:rPr>
        <w:t>An communication infrastructure for the Sorting Houses I &amp;</w:t>
      </w:r>
      <w:r>
        <w:rPr>
          <w:color w:val="27A1B7"/>
          <w:spacing w:val="-9"/>
          <w:sz w:val="22"/>
        </w:rPr>
        <w:t> </w:t>
      </w:r>
      <w:r>
        <w:rPr>
          <w:color w:val="27A1B7"/>
          <w:sz w:val="22"/>
        </w:rPr>
        <w:t>II</w:t>
      </w:r>
    </w:p>
    <w:p>
      <w:pPr>
        <w:pStyle w:val="ListParagraph"/>
        <w:numPr>
          <w:ilvl w:val="0"/>
          <w:numId w:val="9"/>
        </w:numPr>
        <w:tabs>
          <w:tab w:pos="986" w:val="left" w:leader="none"/>
        </w:tabs>
        <w:spacing w:line="240" w:lineRule="auto" w:before="21" w:after="0"/>
        <w:ind w:left="985" w:right="0" w:hanging="144"/>
        <w:jc w:val="left"/>
        <w:rPr>
          <w:color w:val="27A1B7"/>
          <w:sz w:val="22"/>
        </w:rPr>
      </w:pPr>
      <w:r>
        <w:rPr>
          <w:color w:val="27A1B7"/>
          <w:sz w:val="22"/>
        </w:rPr>
        <w:t>M&amp;E of LEAP-RE research</w:t>
      </w:r>
      <w:r>
        <w:rPr>
          <w:color w:val="27A1B7"/>
          <w:spacing w:val="-9"/>
          <w:sz w:val="22"/>
        </w:rPr>
        <w:t> </w:t>
      </w:r>
      <w:r>
        <w:rPr>
          <w:color w:val="27A1B7"/>
          <w:sz w:val="22"/>
        </w:rPr>
        <w:t>activities</w:t>
      </w:r>
    </w:p>
    <w:p>
      <w:pPr>
        <w:pStyle w:val="ListParagraph"/>
        <w:numPr>
          <w:ilvl w:val="0"/>
          <w:numId w:val="9"/>
        </w:numPr>
        <w:tabs>
          <w:tab w:pos="986" w:val="left" w:leader="none"/>
        </w:tabs>
        <w:spacing w:line="240" w:lineRule="auto" w:before="20" w:after="0"/>
        <w:ind w:left="985" w:right="0" w:hanging="144"/>
        <w:jc w:val="left"/>
        <w:rPr>
          <w:color w:val="27A1B7"/>
          <w:sz w:val="22"/>
        </w:rPr>
      </w:pPr>
      <w:r>
        <w:rPr>
          <w:color w:val="27A1B7"/>
          <w:sz w:val="22"/>
        </w:rPr>
        <w:t>Output management of LEAP-RE research</w:t>
      </w:r>
      <w:r>
        <w:rPr>
          <w:color w:val="27A1B7"/>
          <w:spacing w:val="-5"/>
          <w:sz w:val="22"/>
        </w:rPr>
        <w:t> </w:t>
      </w:r>
      <w:r>
        <w:rPr>
          <w:color w:val="27A1B7"/>
          <w:sz w:val="22"/>
        </w:rPr>
        <w:t>activities</w:t>
      </w:r>
    </w:p>
    <w:p>
      <w:pPr>
        <w:pStyle w:val="ListParagraph"/>
        <w:numPr>
          <w:ilvl w:val="0"/>
          <w:numId w:val="9"/>
        </w:numPr>
        <w:tabs>
          <w:tab w:pos="986" w:val="left" w:leader="none"/>
        </w:tabs>
        <w:spacing w:line="259" w:lineRule="auto" w:before="21" w:after="0"/>
        <w:ind w:left="985" w:right="110" w:hanging="144"/>
        <w:jc w:val="left"/>
        <w:rPr>
          <w:color w:val="27A1B7"/>
          <w:sz w:val="22"/>
        </w:rPr>
      </w:pPr>
      <w:r>
        <w:rPr/>
        <w:drawing>
          <wp:anchor distT="0" distB="0" distL="0" distR="0" allowOverlap="1" layoutInCell="1" locked="0" behindDoc="1" simplePos="0" relativeHeight="268401911">
            <wp:simplePos x="0" y="0"/>
            <wp:positionH relativeFrom="page">
              <wp:posOffset>1264019</wp:posOffset>
            </wp:positionH>
            <wp:positionV relativeFrom="paragraph">
              <wp:posOffset>503093</wp:posOffset>
            </wp:positionV>
            <wp:extent cx="5299721" cy="5650134"/>
            <wp:effectExtent l="0" t="0" r="0" b="0"/>
            <wp:wrapNone/>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8" cstate="print"/>
                    <a:stretch>
                      <a:fillRect/>
                    </a:stretch>
                  </pic:blipFill>
                  <pic:spPr>
                    <a:xfrm>
                      <a:off x="0" y="0"/>
                      <a:ext cx="5299721" cy="5650134"/>
                    </a:xfrm>
                    <a:prstGeom prst="rect">
                      <a:avLst/>
                    </a:prstGeom>
                  </pic:spPr>
                </pic:pic>
              </a:graphicData>
            </a:graphic>
          </wp:anchor>
        </w:drawing>
      </w:r>
      <w:r>
        <w:rPr>
          <w:color w:val="27A1B7"/>
          <w:sz w:val="22"/>
        </w:rPr>
        <w:t>Preparing the start of PIMC2 with Sorting House II output and inviting to Dialogue for Action 2 in PIMC2 with a kick-off conference which allows the intra- and inter-action of the actor’s</w:t>
      </w:r>
      <w:r>
        <w:rPr>
          <w:color w:val="27A1B7"/>
          <w:spacing w:val="-16"/>
          <w:sz w:val="22"/>
        </w:rPr>
        <w:t> </w:t>
      </w:r>
      <w:r>
        <w:rPr>
          <w:color w:val="27A1B7"/>
          <w:sz w:val="22"/>
        </w:rPr>
        <w:t>groups.</w:t>
      </w:r>
    </w:p>
    <w:p>
      <w:pPr>
        <w:pStyle w:val="BodyText"/>
      </w:pPr>
    </w:p>
    <w:p>
      <w:pPr>
        <w:pStyle w:val="BodyText"/>
        <w:spacing w:line="259" w:lineRule="auto" w:before="181"/>
        <w:ind w:left="560" w:right="110"/>
        <w:jc w:val="both"/>
      </w:pPr>
      <w:r>
        <w:rPr>
          <w:color w:val="585858"/>
        </w:rPr>
        <w:t>Issues like open source philosophy and Intellectual Property Rights (IPR) will have to be addressed (see the #2 BP Funding &amp; Private</w:t>
      </w:r>
      <w:r>
        <w:rPr>
          <w:color w:val="585858"/>
          <w:spacing w:val="-1"/>
        </w:rPr>
        <w:t> </w:t>
      </w:r>
      <w:r>
        <w:rPr>
          <w:color w:val="585858"/>
        </w:rPr>
        <w:t>Sector).</w:t>
      </w:r>
    </w:p>
    <w:p>
      <w:pPr>
        <w:pStyle w:val="BodyText"/>
      </w:pPr>
    </w:p>
    <w:p>
      <w:pPr>
        <w:pStyle w:val="BodyText"/>
        <w:spacing w:before="6"/>
        <w:rPr>
          <w:sz w:val="17"/>
        </w:rPr>
      </w:pPr>
    </w:p>
    <w:p>
      <w:pPr>
        <w:pStyle w:val="Heading1"/>
        <w:numPr>
          <w:ilvl w:val="0"/>
          <w:numId w:val="8"/>
        </w:numPr>
        <w:tabs>
          <w:tab w:pos="557" w:val="left" w:leader="none"/>
          <w:tab w:pos="559" w:val="left" w:leader="none"/>
        </w:tabs>
        <w:spacing w:line="240" w:lineRule="auto" w:before="0" w:after="0"/>
        <w:ind w:left="558" w:right="0" w:hanging="425"/>
        <w:jc w:val="left"/>
      </w:pPr>
      <w:bookmarkStart w:name="_bookmark4" w:id="10"/>
      <w:bookmarkEnd w:id="10"/>
      <w:r>
        <w:rPr>
          <w:b w:val="0"/>
        </w:rPr>
      </w:r>
      <w:bookmarkStart w:name="_bookmark4" w:id="11"/>
      <w:bookmarkEnd w:id="11"/>
      <w:r>
        <w:rPr>
          <w:color w:val="585858"/>
        </w:rPr>
        <w:t>Coordi</w:t>
      </w:r>
      <w:r>
        <w:rPr>
          <w:color w:val="585858"/>
        </w:rPr>
        <w:t>nating Secretariat</w:t>
      </w:r>
      <w:r>
        <w:rPr>
          <w:color w:val="585858"/>
          <w:spacing w:val="-4"/>
        </w:rPr>
        <w:t> </w:t>
      </w:r>
      <w:r>
        <w:rPr>
          <w:color w:val="585858"/>
        </w:rPr>
        <w:t>Concept</w:t>
      </w:r>
    </w:p>
    <w:p>
      <w:pPr>
        <w:pStyle w:val="BodyText"/>
        <w:spacing w:line="259" w:lineRule="auto" w:before="119"/>
        <w:ind w:left="560" w:right="107"/>
        <w:jc w:val="both"/>
      </w:pPr>
      <w:r>
        <w:rPr>
          <w:color w:val="585858"/>
        </w:rPr>
        <w:t>The coordination in a PIMC and in following PIMCs in an AU-EU KMCF requires an ‘institution’ that will fulfil the following needs:</w:t>
      </w:r>
    </w:p>
    <w:p>
      <w:pPr>
        <w:pStyle w:val="ListParagraph"/>
        <w:numPr>
          <w:ilvl w:val="0"/>
          <w:numId w:val="11"/>
        </w:numPr>
        <w:tabs>
          <w:tab w:pos="1213" w:val="left" w:leader="none"/>
          <w:tab w:pos="1214" w:val="left" w:leader="none"/>
        </w:tabs>
        <w:spacing w:line="240" w:lineRule="auto" w:before="159" w:after="0"/>
        <w:ind w:left="1213" w:right="0" w:hanging="360"/>
        <w:jc w:val="left"/>
        <w:rPr>
          <w:sz w:val="22"/>
        </w:rPr>
      </w:pPr>
      <w:r>
        <w:rPr>
          <w:color w:val="585858"/>
          <w:sz w:val="22"/>
        </w:rPr>
        <w:t>Designing and implementation of Dialogues for</w:t>
      </w:r>
      <w:r>
        <w:rPr>
          <w:color w:val="585858"/>
          <w:spacing w:val="-12"/>
          <w:sz w:val="22"/>
        </w:rPr>
        <w:t> </w:t>
      </w:r>
      <w:r>
        <w:rPr>
          <w:color w:val="585858"/>
          <w:sz w:val="22"/>
        </w:rPr>
        <w:t>Action</w:t>
      </w:r>
    </w:p>
    <w:p>
      <w:pPr>
        <w:pStyle w:val="ListParagraph"/>
        <w:numPr>
          <w:ilvl w:val="1"/>
          <w:numId w:val="11"/>
        </w:numPr>
        <w:tabs>
          <w:tab w:pos="1573" w:val="left" w:leader="none"/>
          <w:tab w:pos="1574" w:val="left" w:leader="none"/>
        </w:tabs>
        <w:spacing w:line="235" w:lineRule="auto" w:before="4" w:after="0"/>
        <w:ind w:left="1573" w:right="219" w:hanging="360"/>
        <w:jc w:val="left"/>
        <w:rPr>
          <w:sz w:val="22"/>
        </w:rPr>
      </w:pPr>
      <w:r>
        <w:rPr>
          <w:color w:val="585858"/>
          <w:sz w:val="22"/>
        </w:rPr>
        <w:t>of funders, managers of data platforms, research institutions, entrepreneurs, decision makers towards R&amp;I (individual and common meetings on different geographical</w:t>
      </w:r>
      <w:r>
        <w:rPr>
          <w:color w:val="585858"/>
          <w:spacing w:val="-12"/>
          <w:sz w:val="22"/>
        </w:rPr>
        <w:t> </w:t>
      </w:r>
      <w:r>
        <w:rPr>
          <w:color w:val="585858"/>
          <w:sz w:val="22"/>
        </w:rPr>
        <w:t>level)</w:t>
      </w:r>
    </w:p>
    <w:p>
      <w:pPr>
        <w:pStyle w:val="ListParagraph"/>
        <w:numPr>
          <w:ilvl w:val="1"/>
          <w:numId w:val="11"/>
        </w:numPr>
        <w:tabs>
          <w:tab w:pos="1573" w:val="left" w:leader="none"/>
          <w:tab w:pos="1574" w:val="left" w:leader="none"/>
        </w:tabs>
        <w:spacing w:line="271" w:lineRule="exact" w:before="1" w:after="0"/>
        <w:ind w:left="1573" w:right="0" w:hanging="360"/>
        <w:jc w:val="left"/>
        <w:rPr>
          <w:sz w:val="22"/>
        </w:rPr>
      </w:pPr>
      <w:r>
        <w:rPr>
          <w:color w:val="585858"/>
          <w:sz w:val="22"/>
        </w:rPr>
        <w:t>meetings addressing or with HLPD</w:t>
      </w:r>
      <w:r>
        <w:rPr>
          <w:color w:val="585858"/>
          <w:spacing w:val="-6"/>
          <w:sz w:val="22"/>
        </w:rPr>
        <w:t> </w:t>
      </w:r>
      <w:r>
        <w:rPr>
          <w:color w:val="585858"/>
          <w:sz w:val="22"/>
        </w:rPr>
        <w:t>(Bureau)</w:t>
      </w:r>
    </w:p>
    <w:p>
      <w:pPr>
        <w:pStyle w:val="ListParagraph"/>
        <w:numPr>
          <w:ilvl w:val="1"/>
          <w:numId w:val="11"/>
        </w:numPr>
        <w:tabs>
          <w:tab w:pos="1573" w:val="left" w:leader="none"/>
          <w:tab w:pos="1574" w:val="left" w:leader="none"/>
        </w:tabs>
        <w:spacing w:line="268" w:lineRule="exact" w:before="0" w:after="0"/>
        <w:ind w:left="1573" w:right="0" w:hanging="360"/>
        <w:jc w:val="left"/>
        <w:rPr>
          <w:sz w:val="22"/>
        </w:rPr>
      </w:pPr>
      <w:r>
        <w:rPr>
          <w:color w:val="585858"/>
          <w:sz w:val="22"/>
        </w:rPr>
        <w:t>organization of general</w:t>
      </w:r>
      <w:r>
        <w:rPr>
          <w:color w:val="585858"/>
          <w:spacing w:val="-3"/>
          <w:sz w:val="22"/>
        </w:rPr>
        <w:t> </w:t>
      </w:r>
      <w:r>
        <w:rPr>
          <w:color w:val="585858"/>
          <w:sz w:val="22"/>
        </w:rPr>
        <w:t>assemblies</w:t>
      </w:r>
    </w:p>
    <w:p>
      <w:pPr>
        <w:pStyle w:val="ListParagraph"/>
        <w:numPr>
          <w:ilvl w:val="0"/>
          <w:numId w:val="11"/>
        </w:numPr>
        <w:tabs>
          <w:tab w:pos="1213" w:val="left" w:leader="none"/>
          <w:tab w:pos="1214" w:val="left" w:leader="none"/>
        </w:tabs>
        <w:spacing w:line="277" w:lineRule="exact" w:before="0" w:after="0"/>
        <w:ind w:left="1213" w:right="0" w:hanging="360"/>
        <w:jc w:val="left"/>
        <w:rPr>
          <w:sz w:val="22"/>
        </w:rPr>
      </w:pPr>
      <w:r>
        <w:rPr>
          <w:color w:val="585858"/>
          <w:sz w:val="22"/>
        </w:rPr>
        <w:t>Communication concept for the network on</w:t>
      </w:r>
      <w:r>
        <w:rPr>
          <w:color w:val="585858"/>
          <w:spacing w:val="-6"/>
          <w:sz w:val="22"/>
        </w:rPr>
        <w:t> </w:t>
      </w:r>
      <w:r>
        <w:rPr>
          <w:color w:val="585858"/>
          <w:sz w:val="22"/>
        </w:rPr>
        <w:t>RE</w:t>
      </w:r>
    </w:p>
    <w:p>
      <w:pPr>
        <w:pStyle w:val="ListParagraph"/>
        <w:numPr>
          <w:ilvl w:val="1"/>
          <w:numId w:val="11"/>
        </w:numPr>
        <w:tabs>
          <w:tab w:pos="1573" w:val="left" w:leader="none"/>
          <w:tab w:pos="1574" w:val="left" w:leader="none"/>
        </w:tabs>
        <w:spacing w:line="272" w:lineRule="exact" w:before="0" w:after="0"/>
        <w:ind w:left="1573" w:right="0" w:hanging="360"/>
        <w:jc w:val="left"/>
        <w:rPr>
          <w:sz w:val="22"/>
        </w:rPr>
      </w:pPr>
      <w:r>
        <w:rPr>
          <w:color w:val="585858"/>
          <w:sz w:val="22"/>
        </w:rPr>
        <w:t>Website</w:t>
      </w:r>
    </w:p>
    <w:p>
      <w:pPr>
        <w:pStyle w:val="ListParagraph"/>
        <w:numPr>
          <w:ilvl w:val="1"/>
          <w:numId w:val="11"/>
        </w:numPr>
        <w:tabs>
          <w:tab w:pos="1573" w:val="left" w:leader="none"/>
          <w:tab w:pos="1574" w:val="left" w:leader="none"/>
        </w:tabs>
        <w:spacing w:line="269" w:lineRule="exact" w:before="0" w:after="0"/>
        <w:ind w:left="1573" w:right="0" w:hanging="360"/>
        <w:jc w:val="left"/>
        <w:rPr>
          <w:sz w:val="22"/>
        </w:rPr>
      </w:pPr>
      <w:r>
        <w:rPr>
          <w:color w:val="585858"/>
          <w:sz w:val="22"/>
        </w:rPr>
        <w:t>Linkages to data bases on</w:t>
      </w:r>
      <w:r>
        <w:rPr>
          <w:color w:val="585858"/>
          <w:spacing w:val="-6"/>
          <w:sz w:val="22"/>
        </w:rPr>
        <w:t> </w:t>
      </w:r>
      <w:r>
        <w:rPr>
          <w:color w:val="585858"/>
          <w:sz w:val="22"/>
        </w:rPr>
        <w:t>RE</w:t>
      </w:r>
    </w:p>
    <w:p>
      <w:pPr>
        <w:pStyle w:val="ListParagraph"/>
        <w:numPr>
          <w:ilvl w:val="1"/>
          <w:numId w:val="11"/>
        </w:numPr>
        <w:tabs>
          <w:tab w:pos="1573" w:val="left" w:leader="none"/>
          <w:tab w:pos="1574" w:val="left" w:leader="none"/>
        </w:tabs>
        <w:spacing w:line="269" w:lineRule="exact" w:before="0" w:after="0"/>
        <w:ind w:left="1573" w:right="0" w:hanging="360"/>
        <w:jc w:val="left"/>
        <w:rPr>
          <w:sz w:val="22"/>
        </w:rPr>
      </w:pPr>
      <w:r>
        <w:rPr>
          <w:color w:val="585858"/>
          <w:sz w:val="22"/>
        </w:rPr>
        <w:t>Links to innovation systems</w:t>
      </w:r>
    </w:p>
    <w:p>
      <w:pPr>
        <w:pStyle w:val="ListParagraph"/>
        <w:numPr>
          <w:ilvl w:val="1"/>
          <w:numId w:val="11"/>
        </w:numPr>
        <w:tabs>
          <w:tab w:pos="1573" w:val="left" w:leader="none"/>
          <w:tab w:pos="1574" w:val="left" w:leader="none"/>
        </w:tabs>
        <w:spacing w:line="269" w:lineRule="exact" w:before="0" w:after="0"/>
        <w:ind w:left="1573" w:right="0" w:hanging="360"/>
        <w:jc w:val="left"/>
        <w:rPr>
          <w:sz w:val="22"/>
        </w:rPr>
      </w:pPr>
      <w:r>
        <w:rPr>
          <w:color w:val="585858"/>
          <w:sz w:val="22"/>
        </w:rPr>
        <w:t>Collecting reports of research projects funded by</w:t>
      </w:r>
      <w:r>
        <w:rPr>
          <w:color w:val="585858"/>
          <w:spacing w:val="-2"/>
          <w:sz w:val="22"/>
        </w:rPr>
        <w:t> </w:t>
      </w:r>
      <w:r>
        <w:rPr>
          <w:color w:val="585858"/>
          <w:sz w:val="22"/>
        </w:rPr>
        <w:t>EJP-LEAP-RE</w:t>
      </w:r>
    </w:p>
    <w:p>
      <w:pPr>
        <w:pStyle w:val="ListParagraph"/>
        <w:numPr>
          <w:ilvl w:val="1"/>
          <w:numId w:val="11"/>
        </w:numPr>
        <w:tabs>
          <w:tab w:pos="1573" w:val="left" w:leader="none"/>
          <w:tab w:pos="1574" w:val="left" w:leader="none"/>
        </w:tabs>
        <w:spacing w:line="235" w:lineRule="auto" w:before="0" w:after="0"/>
        <w:ind w:left="1573" w:right="141" w:hanging="360"/>
        <w:jc w:val="left"/>
        <w:rPr>
          <w:sz w:val="22"/>
        </w:rPr>
      </w:pPr>
      <w:r>
        <w:rPr>
          <w:color w:val="585858"/>
          <w:sz w:val="22"/>
        </w:rPr>
        <w:t>Communication with actors (social media, newsletter, events, organizing the representation of EJP-LEAP-RE during conferences, workshops, etc., contributions to</w:t>
      </w:r>
      <w:r>
        <w:rPr>
          <w:color w:val="585858"/>
          <w:spacing w:val="-6"/>
          <w:sz w:val="22"/>
        </w:rPr>
        <w:t> </w:t>
      </w:r>
      <w:r>
        <w:rPr>
          <w:color w:val="585858"/>
          <w:sz w:val="22"/>
        </w:rPr>
        <w:t>journals)</w:t>
      </w:r>
    </w:p>
    <w:p>
      <w:pPr>
        <w:pStyle w:val="ListParagraph"/>
        <w:numPr>
          <w:ilvl w:val="1"/>
          <w:numId w:val="11"/>
        </w:numPr>
        <w:tabs>
          <w:tab w:pos="1573" w:val="left" w:leader="none"/>
          <w:tab w:pos="1574" w:val="left" w:leader="none"/>
        </w:tabs>
        <w:spacing w:line="271" w:lineRule="exact" w:before="1" w:after="0"/>
        <w:ind w:left="1573" w:right="0" w:hanging="360"/>
        <w:jc w:val="left"/>
        <w:rPr>
          <w:sz w:val="22"/>
        </w:rPr>
      </w:pPr>
      <w:r>
        <w:rPr>
          <w:color w:val="585858"/>
          <w:sz w:val="22"/>
        </w:rPr>
        <w:t>Other publications about EJP-LEAP-RE</w:t>
      </w:r>
    </w:p>
    <w:p>
      <w:pPr>
        <w:pStyle w:val="ListParagraph"/>
        <w:numPr>
          <w:ilvl w:val="1"/>
          <w:numId w:val="11"/>
        </w:numPr>
        <w:tabs>
          <w:tab w:pos="1573" w:val="left" w:leader="none"/>
          <w:tab w:pos="1574" w:val="left" w:leader="none"/>
        </w:tabs>
        <w:spacing w:line="268" w:lineRule="exact" w:before="0" w:after="0"/>
        <w:ind w:left="1573" w:right="0" w:hanging="360"/>
        <w:jc w:val="left"/>
        <w:rPr>
          <w:sz w:val="22"/>
        </w:rPr>
      </w:pPr>
      <w:r>
        <w:rPr>
          <w:color w:val="585858"/>
          <w:sz w:val="22"/>
        </w:rPr>
        <w:t>Collecting reports of Sorting House I &amp; II including the maintenance of impact</w:t>
      </w:r>
      <w:r>
        <w:rPr>
          <w:color w:val="585858"/>
          <w:spacing w:val="-16"/>
          <w:sz w:val="22"/>
        </w:rPr>
        <w:t> </w:t>
      </w:r>
      <w:r>
        <w:rPr>
          <w:color w:val="585858"/>
          <w:sz w:val="22"/>
        </w:rPr>
        <w:t>assessment</w:t>
      </w:r>
    </w:p>
    <w:p>
      <w:pPr>
        <w:pStyle w:val="ListParagraph"/>
        <w:numPr>
          <w:ilvl w:val="0"/>
          <w:numId w:val="11"/>
        </w:numPr>
        <w:tabs>
          <w:tab w:pos="1213" w:val="left" w:leader="none"/>
          <w:tab w:pos="1214" w:val="left" w:leader="none"/>
        </w:tabs>
        <w:spacing w:line="240" w:lineRule="auto" w:before="0" w:after="0"/>
        <w:ind w:left="1213" w:right="774" w:hanging="360"/>
        <w:jc w:val="left"/>
        <w:rPr>
          <w:sz w:val="22"/>
        </w:rPr>
      </w:pPr>
      <w:r>
        <w:rPr>
          <w:color w:val="585858"/>
          <w:sz w:val="22"/>
        </w:rPr>
        <w:t>Application of the TCIP approach as a reflection process and instrument of one PIMC and as intermediation for following PIMCs in the</w:t>
      </w:r>
      <w:r>
        <w:rPr>
          <w:color w:val="585858"/>
          <w:spacing w:val="-9"/>
          <w:sz w:val="22"/>
        </w:rPr>
        <w:t> </w:t>
      </w:r>
      <w:r>
        <w:rPr>
          <w:color w:val="585858"/>
          <w:sz w:val="22"/>
        </w:rPr>
        <w:t>future.</w:t>
      </w:r>
    </w:p>
    <w:p>
      <w:pPr>
        <w:pStyle w:val="ListParagraph"/>
        <w:numPr>
          <w:ilvl w:val="0"/>
          <w:numId w:val="11"/>
        </w:numPr>
        <w:tabs>
          <w:tab w:pos="1213" w:val="left" w:leader="none"/>
          <w:tab w:pos="1214" w:val="left" w:leader="none"/>
        </w:tabs>
        <w:spacing w:line="240" w:lineRule="auto" w:before="0" w:after="0"/>
        <w:ind w:left="1213" w:right="0" w:hanging="360"/>
        <w:jc w:val="left"/>
        <w:rPr>
          <w:sz w:val="22"/>
        </w:rPr>
      </w:pPr>
      <w:r>
        <w:rPr>
          <w:color w:val="585858"/>
          <w:sz w:val="22"/>
        </w:rPr>
        <w:t>Call</w:t>
      </w:r>
      <w:r>
        <w:rPr>
          <w:color w:val="585858"/>
          <w:spacing w:val="-2"/>
          <w:sz w:val="22"/>
        </w:rPr>
        <w:t> </w:t>
      </w:r>
      <w:r>
        <w:rPr>
          <w:color w:val="585858"/>
          <w:sz w:val="22"/>
        </w:rPr>
        <w:t>management</w:t>
      </w:r>
    </w:p>
    <w:p>
      <w:pPr>
        <w:pStyle w:val="ListParagraph"/>
        <w:numPr>
          <w:ilvl w:val="0"/>
          <w:numId w:val="11"/>
        </w:numPr>
        <w:tabs>
          <w:tab w:pos="1213" w:val="left" w:leader="none"/>
          <w:tab w:pos="1214" w:val="left" w:leader="none"/>
        </w:tabs>
        <w:spacing w:line="279" w:lineRule="exact" w:before="0" w:after="0"/>
        <w:ind w:left="1213" w:right="0" w:hanging="360"/>
        <w:jc w:val="left"/>
        <w:rPr>
          <w:sz w:val="22"/>
        </w:rPr>
      </w:pPr>
      <w:r>
        <w:rPr>
          <w:color w:val="585858"/>
          <w:sz w:val="22"/>
        </w:rPr>
        <w:t>Joint Programme (JP) budget</w:t>
      </w:r>
      <w:r>
        <w:rPr>
          <w:color w:val="585858"/>
          <w:spacing w:val="-5"/>
          <w:sz w:val="22"/>
        </w:rPr>
        <w:t> </w:t>
      </w:r>
      <w:r>
        <w:rPr>
          <w:color w:val="585858"/>
          <w:sz w:val="22"/>
        </w:rPr>
        <w:t>management</w:t>
      </w:r>
    </w:p>
    <w:p>
      <w:pPr>
        <w:pStyle w:val="ListParagraph"/>
        <w:numPr>
          <w:ilvl w:val="0"/>
          <w:numId w:val="11"/>
        </w:numPr>
        <w:tabs>
          <w:tab w:pos="1213" w:val="left" w:leader="none"/>
          <w:tab w:pos="1214" w:val="left" w:leader="none"/>
        </w:tabs>
        <w:spacing w:line="279" w:lineRule="exact" w:before="0" w:after="0"/>
        <w:ind w:left="1213" w:right="0" w:hanging="360"/>
        <w:jc w:val="left"/>
        <w:rPr>
          <w:sz w:val="22"/>
        </w:rPr>
      </w:pPr>
      <w:r>
        <w:rPr>
          <w:color w:val="585858"/>
          <w:sz w:val="22"/>
        </w:rPr>
        <w:t>Reporting</w:t>
      </w:r>
      <w:r>
        <w:rPr>
          <w:color w:val="585858"/>
          <w:spacing w:val="-3"/>
          <w:sz w:val="22"/>
        </w:rPr>
        <w:t> </w:t>
      </w:r>
      <w:r>
        <w:rPr>
          <w:color w:val="585858"/>
          <w:sz w:val="22"/>
        </w:rPr>
        <w:t>to</w:t>
      </w:r>
    </w:p>
    <w:p>
      <w:pPr>
        <w:pStyle w:val="ListParagraph"/>
        <w:numPr>
          <w:ilvl w:val="1"/>
          <w:numId w:val="11"/>
        </w:numPr>
        <w:tabs>
          <w:tab w:pos="1573" w:val="left" w:leader="none"/>
          <w:tab w:pos="1574" w:val="left" w:leader="none"/>
        </w:tabs>
        <w:spacing w:line="272" w:lineRule="exact" w:before="0" w:after="0"/>
        <w:ind w:left="1573" w:right="0" w:hanging="360"/>
        <w:jc w:val="left"/>
        <w:rPr>
          <w:sz w:val="22"/>
        </w:rPr>
      </w:pPr>
      <w:r>
        <w:rPr>
          <w:color w:val="585858"/>
          <w:sz w:val="22"/>
        </w:rPr>
        <w:t>EJP-LEAP-RE</w:t>
      </w:r>
      <w:r>
        <w:rPr>
          <w:color w:val="585858"/>
          <w:spacing w:val="-3"/>
          <w:sz w:val="22"/>
        </w:rPr>
        <w:t> </w:t>
      </w:r>
      <w:r>
        <w:rPr>
          <w:color w:val="585858"/>
          <w:sz w:val="22"/>
        </w:rPr>
        <w:t>consortium</w:t>
      </w:r>
    </w:p>
    <w:p>
      <w:pPr>
        <w:pStyle w:val="ListParagraph"/>
        <w:numPr>
          <w:ilvl w:val="1"/>
          <w:numId w:val="11"/>
        </w:numPr>
        <w:tabs>
          <w:tab w:pos="1573" w:val="left" w:leader="none"/>
          <w:tab w:pos="1574" w:val="left" w:leader="none"/>
        </w:tabs>
        <w:spacing w:line="269" w:lineRule="exact" w:before="0" w:after="0"/>
        <w:ind w:left="1573" w:right="0" w:hanging="360"/>
        <w:jc w:val="left"/>
        <w:rPr>
          <w:sz w:val="22"/>
        </w:rPr>
      </w:pPr>
      <w:r>
        <w:rPr>
          <w:color w:val="585858"/>
          <w:sz w:val="22"/>
        </w:rPr>
        <w:t>AU-EU HLPD</w:t>
      </w:r>
      <w:r>
        <w:rPr>
          <w:color w:val="585858"/>
          <w:spacing w:val="-1"/>
          <w:sz w:val="22"/>
        </w:rPr>
        <w:t> </w:t>
      </w:r>
      <w:r>
        <w:rPr>
          <w:color w:val="585858"/>
          <w:sz w:val="22"/>
        </w:rPr>
        <w:t>(Bureau)</w:t>
      </w:r>
    </w:p>
    <w:p>
      <w:pPr>
        <w:pStyle w:val="ListParagraph"/>
        <w:numPr>
          <w:ilvl w:val="1"/>
          <w:numId w:val="11"/>
        </w:numPr>
        <w:tabs>
          <w:tab w:pos="1573" w:val="left" w:leader="none"/>
          <w:tab w:pos="1574" w:val="left" w:leader="none"/>
        </w:tabs>
        <w:spacing w:line="272" w:lineRule="exact" w:before="0" w:after="0"/>
        <w:ind w:left="1573" w:right="0" w:hanging="360"/>
        <w:jc w:val="left"/>
        <w:rPr>
          <w:sz w:val="22"/>
        </w:rPr>
      </w:pPr>
      <w:r>
        <w:rPr>
          <w:color w:val="585858"/>
          <w:sz w:val="22"/>
        </w:rPr>
        <w:t>EC during</w:t>
      </w:r>
      <w:r>
        <w:rPr>
          <w:color w:val="585858"/>
          <w:spacing w:val="-2"/>
          <w:sz w:val="22"/>
        </w:rPr>
        <w:t> </w:t>
      </w:r>
      <w:r>
        <w:rPr>
          <w:color w:val="585858"/>
          <w:sz w:val="22"/>
        </w:rPr>
        <w:t>EJP-LEAP-RE</w:t>
      </w:r>
    </w:p>
    <w:p>
      <w:pPr>
        <w:pStyle w:val="BodyText"/>
        <w:rPr>
          <w:sz w:val="24"/>
        </w:rPr>
      </w:pPr>
    </w:p>
    <w:p>
      <w:pPr>
        <w:pStyle w:val="BodyText"/>
        <w:spacing w:line="259" w:lineRule="auto" w:before="150"/>
        <w:ind w:left="560" w:right="107"/>
        <w:jc w:val="both"/>
      </w:pPr>
      <w:r>
        <w:rPr>
          <w:color w:val="585858"/>
        </w:rPr>
        <w:t>The Coordinating Secretariat (CoSe) is a managing office which will be coordinated by an African and an European institution as co-coordinators and supported by an executive group. On a periodical basis,  which could means e.g. after one PIMC, both institutions will hand over the responsibility to a following ‘African-European-Tandem’ as co-coordinators. A policy board in close collaboration with the general assembly and an advisory board for independent advise as well as an an ethical board will be managed by the CoSe.</w:t>
      </w:r>
    </w:p>
    <w:p>
      <w:pPr>
        <w:pStyle w:val="BodyText"/>
        <w:spacing w:before="159"/>
        <w:ind w:left="560"/>
        <w:jc w:val="both"/>
      </w:pPr>
      <w:r>
        <w:rPr>
          <w:color w:val="585858"/>
        </w:rPr>
        <w:t>The sustainable funding of a CoSe has to be developed during the EJP-LEAP-RE.</w:t>
      </w:r>
    </w:p>
    <w:p>
      <w:pPr>
        <w:spacing w:after="0"/>
        <w:jc w:val="both"/>
        <w:sectPr>
          <w:pgSz w:w="11920" w:h="16850"/>
          <w:pgMar w:header="0" w:footer="803" w:top="960" w:bottom="1360" w:left="1000" w:right="740"/>
        </w:sectPr>
      </w:pPr>
    </w:p>
    <w:p>
      <w:pPr>
        <w:pStyle w:val="BodyText"/>
        <w:spacing w:line="259" w:lineRule="auto" w:before="32"/>
        <w:ind w:left="560"/>
      </w:pPr>
      <w:r>
        <w:rPr>
          <w:color w:val="585858"/>
        </w:rPr>
        <w:t>The Belmont Forum, e.g., is working with a membership fee to fulfill its management and coordination needs, which perhaps could be an inspiring model for LEAP-RE after EJP-LEAP-RE.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drawing>
          <wp:anchor distT="0" distB="0" distL="0" distR="0" allowOverlap="1" layoutInCell="1" locked="0" behindDoc="0" simplePos="0" relativeHeight="23">
            <wp:simplePos x="0" y="0"/>
            <wp:positionH relativeFrom="page">
              <wp:posOffset>1264019</wp:posOffset>
            </wp:positionH>
            <wp:positionV relativeFrom="paragraph">
              <wp:posOffset>169289</wp:posOffset>
            </wp:positionV>
            <wp:extent cx="5196440" cy="5540025"/>
            <wp:effectExtent l="0" t="0" r="0" b="0"/>
            <wp:wrapTopAndBottom/>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18" cstate="print"/>
                    <a:stretch>
                      <a:fillRect/>
                    </a:stretch>
                  </pic:blipFill>
                  <pic:spPr>
                    <a:xfrm>
                      <a:off x="0" y="0"/>
                      <a:ext cx="5196440" cy="5540025"/>
                    </a:xfrm>
                    <a:prstGeom prst="rect">
                      <a:avLst/>
                    </a:prstGeom>
                  </pic:spPr>
                </pic:pic>
              </a:graphicData>
            </a:graphic>
          </wp:anchor>
        </w:drawing>
      </w:r>
    </w:p>
    <w:p>
      <w:pPr>
        <w:spacing w:after="0"/>
        <w:rPr>
          <w:sz w:val="18"/>
        </w:rPr>
        <w:sectPr>
          <w:pgSz w:w="11920" w:h="16850"/>
          <w:pgMar w:header="0" w:footer="803" w:top="960" w:bottom="1360" w:left="1000" w:right="740"/>
        </w:sectPr>
      </w:pPr>
    </w:p>
    <w:p>
      <w:pPr>
        <w:pStyle w:val="Heading1"/>
        <w:numPr>
          <w:ilvl w:val="0"/>
          <w:numId w:val="8"/>
        </w:numPr>
        <w:tabs>
          <w:tab w:pos="557" w:val="left" w:leader="none"/>
          <w:tab w:pos="559" w:val="left" w:leader="none"/>
        </w:tabs>
        <w:spacing w:line="240" w:lineRule="auto" w:before="32" w:after="0"/>
        <w:ind w:left="558" w:right="0" w:hanging="425"/>
        <w:jc w:val="left"/>
      </w:pPr>
      <w:r>
        <w:rPr/>
        <w:pict>
          <v:group style="position:absolute;margin-left:99.529121pt;margin-top:177.739975pt;width:417.35pt;height:458.85pt;mso-position-horizontal-relative:page;mso-position-vertical-relative:page;z-index:-33496" coordorigin="1991,3555" coordsize="8347,9177">
            <v:shape style="position:absolute;left:1990;top:3792;width:8347;height:8898" type="#_x0000_t75" stroked="false">
              <v:imagedata r:id="rId18" o:title=""/>
            </v:shape>
            <v:shape style="position:absolute;left:2551;top:3554;width:7517;height:9177" coordorigin="2552,3555" coordsize="7517,9177" path="m10068,10931l9998,10931,2621,10931,2552,10931,2552,11232,2552,11532,2552,11832,2552,12132,2552,12432,2552,12732,10068,12732,10068,12432,10068,12132,10068,11832,10068,11532,10068,11232,10068,10931m10068,4693l9998,4693,2621,4693,2552,4693,2552,4993,2552,5293,2552,5593,2552,5893,2552,6193,2552,6493,2552,6793,2552,7093,2552,7393,2552,7693,2552,7693,2552,7993,2552,8293,2552,8593,2552,8893,2552,9193,2552,9493,2552,9793,2552,10093,2552,10631,2552,10931,10068,10931,10068,10631,10068,10093,10068,9793,10068,9493,10068,9193,10068,8893,10068,8593,10068,8293,10068,7993,10068,7693,10068,7693,10068,7393,10068,7093,10068,6793,10068,6493,10068,6193,10068,5893,10068,5593,10068,5293,10068,4993,10068,4693m10068,3555l9998,3555,2621,3555,2552,3555,2552,4092,2552,4392,2552,4692,10068,4692,10068,4392,10068,4092,10068,3555e" filled="true" fillcolor="#ffffff" stroked="false">
              <v:path arrowok="t"/>
              <v:fill type="solid"/>
            </v:shape>
            <w10:wrap type="none"/>
          </v:group>
        </w:pict>
      </w:r>
      <w:r>
        <w:rPr/>
        <w:pict>
          <v:rect style="position:absolute;margin-left:131.059998pt;margin-top:621.579956pt;width:368.86pt;height:13.44pt;mso-position-horizontal-relative:page;mso-position-vertical-relative:page;z-index:-33472" filled="true" fillcolor="#ffffff" stroked="false">
            <v:fill type="solid"/>
            <w10:wrap type="none"/>
          </v:rect>
        </w:pict>
      </w:r>
      <w:bookmarkStart w:name="_bookmark5" w:id="12"/>
      <w:bookmarkEnd w:id="12"/>
      <w:r>
        <w:rPr>
          <w:b w:val="0"/>
        </w:rPr>
      </w:r>
      <w:bookmarkStart w:name="_bookmark5" w:id="13"/>
      <w:bookmarkEnd w:id="13"/>
      <w:r>
        <w:rPr>
          <w:color w:val="585858"/>
        </w:rPr>
        <w:t>Gl</w:t>
      </w:r>
      <w:r>
        <w:rPr>
          <w:color w:val="585858"/>
        </w:rPr>
        <w:t>ossary</w:t>
      </w:r>
    </w:p>
    <w:p>
      <w:pPr>
        <w:pStyle w:val="BodyText"/>
        <w:spacing w:before="4"/>
        <w:rPr>
          <w:b/>
          <w:sz w:val="13"/>
        </w:rPr>
      </w:pPr>
    </w:p>
    <w:tbl>
      <w:tblPr>
        <w:tblW w:w="0" w:type="auto"/>
        <w:jc w:val="left"/>
        <w:tblInd w:w="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9"/>
        <w:gridCol w:w="7430"/>
      </w:tblGrid>
      <w:tr>
        <w:trPr>
          <w:trHeight w:val="260" w:hRule="atLeast"/>
        </w:trPr>
        <w:tc>
          <w:tcPr>
            <w:tcW w:w="1159" w:type="dxa"/>
          </w:tcPr>
          <w:p>
            <w:pPr>
              <w:pStyle w:val="TableParagraph"/>
              <w:spacing w:line="225" w:lineRule="exact"/>
              <w:ind w:left="0" w:right="66"/>
              <w:jc w:val="right"/>
              <w:rPr>
                <w:b/>
                <w:sz w:val="22"/>
              </w:rPr>
            </w:pPr>
            <w:r>
              <w:rPr>
                <w:b/>
                <w:color w:val="585858"/>
                <w:sz w:val="22"/>
              </w:rPr>
              <w:t>2iE</w:t>
            </w:r>
          </w:p>
        </w:tc>
        <w:tc>
          <w:tcPr>
            <w:tcW w:w="7430" w:type="dxa"/>
          </w:tcPr>
          <w:p>
            <w:pPr>
              <w:pStyle w:val="TableParagraph"/>
              <w:spacing w:line="225" w:lineRule="exact"/>
              <w:rPr>
                <w:sz w:val="22"/>
              </w:rPr>
            </w:pPr>
            <w:r>
              <w:rPr>
                <w:color w:val="585858"/>
                <w:sz w:val="22"/>
              </w:rPr>
              <w:t>Fondation 2iE Association, Burkina Faso</w:t>
            </w:r>
          </w:p>
        </w:tc>
      </w:tr>
      <w:tr>
        <w:trPr>
          <w:trHeight w:val="300" w:hRule="atLeast"/>
        </w:trPr>
        <w:tc>
          <w:tcPr>
            <w:tcW w:w="1159" w:type="dxa"/>
          </w:tcPr>
          <w:p>
            <w:pPr>
              <w:pStyle w:val="TableParagraph"/>
              <w:ind w:left="0" w:right="66"/>
              <w:jc w:val="right"/>
              <w:rPr>
                <w:b/>
                <w:sz w:val="22"/>
              </w:rPr>
            </w:pPr>
            <w:r>
              <w:rPr>
                <w:b/>
                <w:color w:val="585858"/>
                <w:sz w:val="22"/>
              </w:rPr>
              <w:t>ACU</w:t>
            </w:r>
          </w:p>
        </w:tc>
        <w:tc>
          <w:tcPr>
            <w:tcW w:w="7430" w:type="dxa"/>
          </w:tcPr>
          <w:p>
            <w:pPr>
              <w:pStyle w:val="TableParagraph"/>
              <w:rPr>
                <w:sz w:val="22"/>
              </w:rPr>
            </w:pPr>
            <w:r>
              <w:rPr>
                <w:color w:val="585858"/>
                <w:sz w:val="22"/>
              </w:rPr>
              <w:t>Association of Commonwealth Universities, UK</w:t>
            </w:r>
          </w:p>
        </w:tc>
      </w:tr>
      <w:tr>
        <w:trPr>
          <w:trHeight w:val="300" w:hRule="atLeast"/>
        </w:trPr>
        <w:tc>
          <w:tcPr>
            <w:tcW w:w="1159" w:type="dxa"/>
          </w:tcPr>
          <w:p>
            <w:pPr>
              <w:pStyle w:val="TableParagraph"/>
              <w:ind w:left="0" w:right="67"/>
              <w:jc w:val="right"/>
              <w:rPr>
                <w:b/>
                <w:sz w:val="22"/>
              </w:rPr>
            </w:pPr>
            <w:r>
              <w:rPr>
                <w:b/>
                <w:color w:val="585858"/>
                <w:sz w:val="22"/>
              </w:rPr>
              <w:t>AESG</w:t>
            </w:r>
          </w:p>
        </w:tc>
        <w:tc>
          <w:tcPr>
            <w:tcW w:w="7430" w:type="dxa"/>
          </w:tcPr>
          <w:p>
            <w:pPr>
              <w:pStyle w:val="TableParagraph"/>
              <w:rPr>
                <w:sz w:val="22"/>
              </w:rPr>
            </w:pPr>
            <w:r>
              <w:rPr>
                <w:color w:val="585858"/>
                <w:sz w:val="22"/>
              </w:rPr>
              <w:t>Africa Energy Services Group Ltd., Rwanda</w:t>
            </w:r>
          </w:p>
        </w:tc>
      </w:tr>
      <w:tr>
        <w:trPr>
          <w:trHeight w:val="300" w:hRule="atLeast"/>
        </w:trPr>
        <w:tc>
          <w:tcPr>
            <w:tcW w:w="1159" w:type="dxa"/>
          </w:tcPr>
          <w:p>
            <w:pPr>
              <w:pStyle w:val="TableParagraph"/>
              <w:ind w:left="0" w:right="67"/>
              <w:jc w:val="right"/>
              <w:rPr>
                <w:b/>
                <w:sz w:val="22"/>
              </w:rPr>
            </w:pPr>
            <w:r>
              <w:rPr>
                <w:b/>
                <w:color w:val="585858"/>
                <w:sz w:val="22"/>
              </w:rPr>
              <w:t>AMGA</w:t>
            </w:r>
          </w:p>
        </w:tc>
        <w:tc>
          <w:tcPr>
            <w:tcW w:w="7430" w:type="dxa"/>
          </w:tcPr>
          <w:p>
            <w:pPr>
              <w:pStyle w:val="TableParagraph"/>
              <w:rPr>
                <w:sz w:val="22"/>
              </w:rPr>
            </w:pPr>
            <w:r>
              <w:rPr>
                <w:color w:val="585858"/>
                <w:sz w:val="22"/>
              </w:rPr>
              <w:t>Annotated Model Grant Agreement</w:t>
            </w:r>
          </w:p>
        </w:tc>
      </w:tr>
      <w:tr>
        <w:trPr>
          <w:trHeight w:val="300" w:hRule="atLeast"/>
        </w:trPr>
        <w:tc>
          <w:tcPr>
            <w:tcW w:w="1159" w:type="dxa"/>
          </w:tcPr>
          <w:p>
            <w:pPr>
              <w:pStyle w:val="TableParagraph"/>
              <w:ind w:left="0" w:right="67"/>
              <w:jc w:val="right"/>
              <w:rPr>
                <w:b/>
                <w:sz w:val="22"/>
              </w:rPr>
            </w:pPr>
            <w:r>
              <w:rPr>
                <w:b/>
                <w:color w:val="585858"/>
                <w:sz w:val="22"/>
              </w:rPr>
              <w:t>ANER</w:t>
            </w:r>
          </w:p>
        </w:tc>
        <w:tc>
          <w:tcPr>
            <w:tcW w:w="7430" w:type="dxa"/>
          </w:tcPr>
          <w:p>
            <w:pPr>
              <w:pStyle w:val="TableParagraph"/>
              <w:rPr>
                <w:sz w:val="22"/>
              </w:rPr>
            </w:pPr>
            <w:r>
              <w:rPr>
                <w:color w:val="585858"/>
                <w:sz w:val="22"/>
              </w:rPr>
              <w:t>Agence Nationale pur les Energies Renouvable, Sénégal</w:t>
            </w:r>
          </w:p>
        </w:tc>
      </w:tr>
      <w:tr>
        <w:trPr>
          <w:trHeight w:val="300" w:hRule="atLeast"/>
        </w:trPr>
        <w:tc>
          <w:tcPr>
            <w:tcW w:w="1159" w:type="dxa"/>
          </w:tcPr>
          <w:p>
            <w:pPr>
              <w:pStyle w:val="TableParagraph"/>
              <w:ind w:left="0" w:right="67"/>
              <w:jc w:val="right"/>
              <w:rPr>
                <w:b/>
                <w:sz w:val="22"/>
              </w:rPr>
            </w:pPr>
            <w:r>
              <w:rPr>
                <w:b/>
                <w:color w:val="585858"/>
                <w:sz w:val="22"/>
              </w:rPr>
              <w:t>ANME</w:t>
            </w:r>
          </w:p>
        </w:tc>
        <w:tc>
          <w:tcPr>
            <w:tcW w:w="7430" w:type="dxa"/>
          </w:tcPr>
          <w:p>
            <w:pPr>
              <w:pStyle w:val="TableParagraph"/>
              <w:rPr>
                <w:sz w:val="22"/>
              </w:rPr>
            </w:pPr>
            <w:r>
              <w:rPr>
                <w:color w:val="585858"/>
                <w:sz w:val="22"/>
              </w:rPr>
              <w:t>Agence Tunisienne de la Maitrise de l'Energie; Tunis</w:t>
            </w:r>
          </w:p>
        </w:tc>
      </w:tr>
      <w:tr>
        <w:trPr>
          <w:trHeight w:val="300" w:hRule="atLeast"/>
        </w:trPr>
        <w:tc>
          <w:tcPr>
            <w:tcW w:w="1159" w:type="dxa"/>
          </w:tcPr>
          <w:p>
            <w:pPr>
              <w:pStyle w:val="TableParagraph"/>
              <w:ind w:left="0" w:right="65"/>
              <w:jc w:val="right"/>
              <w:rPr>
                <w:b/>
                <w:sz w:val="22"/>
              </w:rPr>
            </w:pPr>
            <w:r>
              <w:rPr>
                <w:b/>
                <w:color w:val="585858"/>
                <w:sz w:val="22"/>
              </w:rPr>
              <w:t>AU</w:t>
            </w:r>
          </w:p>
        </w:tc>
        <w:tc>
          <w:tcPr>
            <w:tcW w:w="7430" w:type="dxa"/>
          </w:tcPr>
          <w:p>
            <w:pPr>
              <w:pStyle w:val="TableParagraph"/>
              <w:rPr>
                <w:sz w:val="22"/>
              </w:rPr>
            </w:pPr>
            <w:r>
              <w:rPr>
                <w:color w:val="585858"/>
                <w:sz w:val="22"/>
              </w:rPr>
              <w:t>African Union</w:t>
            </w:r>
          </w:p>
        </w:tc>
      </w:tr>
      <w:tr>
        <w:trPr>
          <w:trHeight w:val="553" w:hRule="atLeast"/>
        </w:trPr>
        <w:tc>
          <w:tcPr>
            <w:tcW w:w="1159" w:type="dxa"/>
          </w:tcPr>
          <w:p>
            <w:pPr>
              <w:pStyle w:val="TableParagraph"/>
              <w:ind w:left="0" w:right="67"/>
              <w:jc w:val="right"/>
              <w:rPr>
                <w:b/>
                <w:sz w:val="22"/>
              </w:rPr>
            </w:pPr>
            <w:r>
              <w:rPr>
                <w:b/>
                <w:color w:val="585858"/>
                <w:sz w:val="22"/>
              </w:rPr>
              <w:t>BLE</w:t>
            </w:r>
          </w:p>
        </w:tc>
        <w:tc>
          <w:tcPr>
            <w:tcW w:w="7430" w:type="dxa"/>
          </w:tcPr>
          <w:p>
            <w:pPr>
              <w:pStyle w:val="TableParagraph"/>
              <w:spacing w:line="240" w:lineRule="auto"/>
              <w:ind w:right="1301"/>
              <w:rPr>
                <w:sz w:val="22"/>
              </w:rPr>
            </w:pPr>
            <w:r>
              <w:rPr>
                <w:color w:val="585858"/>
                <w:sz w:val="22"/>
              </w:rPr>
              <w:t>German Federal Office for Agriculture and Food | Bundesanstalt für Landwirtschaft und Ernährung</w:t>
            </w:r>
          </w:p>
        </w:tc>
      </w:tr>
      <w:tr>
        <w:trPr>
          <w:trHeight w:val="284" w:hRule="atLeast"/>
        </w:trPr>
        <w:tc>
          <w:tcPr>
            <w:tcW w:w="1159" w:type="dxa"/>
          </w:tcPr>
          <w:p>
            <w:pPr>
              <w:pStyle w:val="TableParagraph"/>
              <w:spacing w:line="249" w:lineRule="exact"/>
              <w:ind w:left="0" w:right="66"/>
              <w:jc w:val="right"/>
              <w:rPr>
                <w:b/>
                <w:sz w:val="22"/>
              </w:rPr>
            </w:pPr>
            <w:r>
              <w:rPr>
                <w:b/>
                <w:color w:val="585858"/>
                <w:sz w:val="22"/>
              </w:rPr>
              <w:t>CA</w:t>
            </w:r>
          </w:p>
        </w:tc>
        <w:tc>
          <w:tcPr>
            <w:tcW w:w="7430" w:type="dxa"/>
          </w:tcPr>
          <w:p>
            <w:pPr>
              <w:pStyle w:val="TableParagraph"/>
              <w:spacing w:line="249" w:lineRule="exact"/>
              <w:rPr>
                <w:sz w:val="22"/>
              </w:rPr>
            </w:pPr>
            <w:r>
              <w:rPr>
                <w:color w:val="585858"/>
                <w:sz w:val="22"/>
              </w:rPr>
              <w:t>Consortium Agreement</w:t>
            </w:r>
          </w:p>
        </w:tc>
      </w:tr>
      <w:tr>
        <w:trPr>
          <w:trHeight w:val="300" w:hRule="atLeast"/>
        </w:trPr>
        <w:tc>
          <w:tcPr>
            <w:tcW w:w="1159" w:type="dxa"/>
          </w:tcPr>
          <w:p>
            <w:pPr>
              <w:pStyle w:val="TableParagraph"/>
              <w:ind w:left="0" w:right="67"/>
              <w:jc w:val="right"/>
              <w:rPr>
                <w:b/>
                <w:sz w:val="22"/>
              </w:rPr>
            </w:pPr>
            <w:r>
              <w:rPr>
                <w:b/>
                <w:color w:val="585858"/>
                <w:sz w:val="22"/>
              </w:rPr>
              <w:t>CCSE</w:t>
            </w:r>
          </w:p>
        </w:tc>
        <w:tc>
          <w:tcPr>
            <w:tcW w:w="7430" w:type="dxa"/>
          </w:tcPr>
          <w:p>
            <w:pPr>
              <w:pStyle w:val="TableParagraph"/>
              <w:rPr>
                <w:sz w:val="22"/>
              </w:rPr>
            </w:pPr>
            <w:r>
              <w:rPr>
                <w:color w:val="585858"/>
                <w:sz w:val="22"/>
              </w:rPr>
              <w:t>Climate Change and Sustainable Energy</w:t>
            </w:r>
          </w:p>
        </w:tc>
      </w:tr>
      <w:tr>
        <w:trPr>
          <w:trHeight w:val="300" w:hRule="atLeast"/>
        </w:trPr>
        <w:tc>
          <w:tcPr>
            <w:tcW w:w="1159" w:type="dxa"/>
          </w:tcPr>
          <w:p>
            <w:pPr>
              <w:pStyle w:val="TableParagraph"/>
              <w:spacing w:line="265" w:lineRule="exact"/>
              <w:ind w:left="0" w:right="67"/>
              <w:jc w:val="right"/>
              <w:rPr>
                <w:b/>
                <w:sz w:val="22"/>
              </w:rPr>
            </w:pPr>
            <w:r>
              <w:rPr>
                <w:b/>
                <w:color w:val="585858"/>
                <w:sz w:val="22"/>
              </w:rPr>
              <w:t>CEA</w:t>
            </w:r>
          </w:p>
        </w:tc>
        <w:tc>
          <w:tcPr>
            <w:tcW w:w="7430" w:type="dxa"/>
          </w:tcPr>
          <w:p>
            <w:pPr>
              <w:pStyle w:val="TableParagraph"/>
              <w:spacing w:line="265" w:lineRule="exact"/>
              <w:rPr>
                <w:sz w:val="22"/>
              </w:rPr>
            </w:pPr>
            <w:r>
              <w:rPr>
                <w:color w:val="585858"/>
                <w:sz w:val="22"/>
              </w:rPr>
              <w:t>Commissariat à l'énergie atomique et aux énergies alternatives, France</w:t>
            </w:r>
          </w:p>
        </w:tc>
      </w:tr>
      <w:tr>
        <w:trPr>
          <w:trHeight w:val="300" w:hRule="atLeast"/>
        </w:trPr>
        <w:tc>
          <w:tcPr>
            <w:tcW w:w="1159" w:type="dxa"/>
          </w:tcPr>
          <w:p>
            <w:pPr>
              <w:pStyle w:val="TableParagraph"/>
              <w:ind w:left="0" w:right="67"/>
              <w:jc w:val="right"/>
              <w:rPr>
                <w:b/>
                <w:sz w:val="22"/>
              </w:rPr>
            </w:pPr>
            <w:r>
              <w:rPr>
                <w:b/>
                <w:color w:val="585858"/>
                <w:sz w:val="22"/>
              </w:rPr>
              <w:t>CoI</w:t>
            </w:r>
          </w:p>
        </w:tc>
        <w:tc>
          <w:tcPr>
            <w:tcW w:w="7430" w:type="dxa"/>
          </w:tcPr>
          <w:p>
            <w:pPr>
              <w:pStyle w:val="TableParagraph"/>
              <w:rPr>
                <w:sz w:val="22"/>
              </w:rPr>
            </w:pPr>
            <w:r>
              <w:rPr>
                <w:color w:val="585858"/>
                <w:sz w:val="22"/>
              </w:rPr>
              <w:t>Confirmation of Interest (of those who sent a letter of support before the GA)</w:t>
            </w:r>
          </w:p>
        </w:tc>
      </w:tr>
      <w:tr>
        <w:trPr>
          <w:trHeight w:val="300" w:hRule="atLeast"/>
        </w:trPr>
        <w:tc>
          <w:tcPr>
            <w:tcW w:w="1159" w:type="dxa"/>
          </w:tcPr>
          <w:p>
            <w:pPr>
              <w:pStyle w:val="TableParagraph"/>
              <w:ind w:left="0" w:right="67"/>
              <w:jc w:val="right"/>
              <w:rPr>
                <w:b/>
                <w:sz w:val="22"/>
              </w:rPr>
            </w:pPr>
            <w:r>
              <w:rPr>
                <w:b/>
                <w:color w:val="585858"/>
                <w:sz w:val="22"/>
              </w:rPr>
              <w:t>CSIR</w:t>
            </w:r>
          </w:p>
        </w:tc>
        <w:tc>
          <w:tcPr>
            <w:tcW w:w="7430" w:type="dxa"/>
          </w:tcPr>
          <w:p>
            <w:pPr>
              <w:pStyle w:val="TableParagraph"/>
              <w:rPr>
                <w:sz w:val="22"/>
              </w:rPr>
            </w:pPr>
            <w:r>
              <w:rPr>
                <w:color w:val="585858"/>
                <w:sz w:val="22"/>
              </w:rPr>
              <w:t>Council for Scientific and Industrial Research, South Africa</w:t>
            </w:r>
          </w:p>
        </w:tc>
      </w:tr>
      <w:tr>
        <w:trPr>
          <w:trHeight w:val="300" w:hRule="atLeast"/>
        </w:trPr>
        <w:tc>
          <w:tcPr>
            <w:tcW w:w="1159" w:type="dxa"/>
          </w:tcPr>
          <w:p>
            <w:pPr>
              <w:pStyle w:val="TableParagraph"/>
              <w:ind w:left="0" w:right="69"/>
              <w:jc w:val="right"/>
              <w:rPr>
                <w:b/>
                <w:sz w:val="22"/>
              </w:rPr>
            </w:pPr>
            <w:r>
              <w:rPr>
                <w:b/>
                <w:color w:val="585858"/>
                <w:sz w:val="22"/>
              </w:rPr>
              <w:t>CSP</w:t>
            </w:r>
          </w:p>
        </w:tc>
        <w:tc>
          <w:tcPr>
            <w:tcW w:w="7430" w:type="dxa"/>
          </w:tcPr>
          <w:p>
            <w:pPr>
              <w:pStyle w:val="TableParagraph"/>
              <w:rPr>
                <w:sz w:val="22"/>
              </w:rPr>
            </w:pPr>
            <w:r>
              <w:rPr>
                <w:color w:val="585858"/>
                <w:sz w:val="22"/>
              </w:rPr>
              <w:t>Concentrated Solar Plant</w:t>
            </w:r>
          </w:p>
        </w:tc>
      </w:tr>
      <w:tr>
        <w:trPr>
          <w:trHeight w:val="300" w:hRule="atLeast"/>
        </w:trPr>
        <w:tc>
          <w:tcPr>
            <w:tcW w:w="1159" w:type="dxa"/>
          </w:tcPr>
          <w:p>
            <w:pPr>
              <w:pStyle w:val="TableParagraph"/>
              <w:ind w:left="0" w:right="68"/>
              <w:jc w:val="right"/>
              <w:rPr>
                <w:b/>
                <w:sz w:val="22"/>
              </w:rPr>
            </w:pPr>
            <w:r>
              <w:rPr>
                <w:b/>
                <w:color w:val="585858"/>
                <w:sz w:val="22"/>
              </w:rPr>
              <w:t>DEDEAT</w:t>
            </w:r>
          </w:p>
        </w:tc>
        <w:tc>
          <w:tcPr>
            <w:tcW w:w="7430" w:type="dxa"/>
          </w:tcPr>
          <w:p>
            <w:pPr>
              <w:pStyle w:val="TableParagraph"/>
              <w:rPr>
                <w:sz w:val="22"/>
              </w:rPr>
            </w:pPr>
            <w:r>
              <w:rPr>
                <w:color w:val="585858"/>
                <w:sz w:val="22"/>
              </w:rPr>
              <w:t>Economic Development, Environmental Affairs and Tourism, South Africa</w:t>
            </w:r>
          </w:p>
        </w:tc>
      </w:tr>
      <w:tr>
        <w:trPr>
          <w:trHeight w:val="300" w:hRule="atLeast"/>
        </w:trPr>
        <w:tc>
          <w:tcPr>
            <w:tcW w:w="1159" w:type="dxa"/>
          </w:tcPr>
          <w:p>
            <w:pPr>
              <w:pStyle w:val="TableParagraph"/>
              <w:ind w:left="0" w:right="67"/>
              <w:jc w:val="right"/>
              <w:rPr>
                <w:b/>
                <w:sz w:val="22"/>
              </w:rPr>
            </w:pPr>
            <w:r>
              <w:rPr>
                <w:b/>
                <w:color w:val="585858"/>
                <w:sz w:val="22"/>
              </w:rPr>
              <w:t>DLR</w:t>
            </w:r>
          </w:p>
        </w:tc>
        <w:tc>
          <w:tcPr>
            <w:tcW w:w="7430" w:type="dxa"/>
          </w:tcPr>
          <w:p>
            <w:pPr>
              <w:pStyle w:val="TableParagraph"/>
              <w:rPr>
                <w:sz w:val="22"/>
              </w:rPr>
            </w:pPr>
            <w:r>
              <w:rPr>
                <w:color w:val="585858"/>
                <w:sz w:val="22"/>
              </w:rPr>
              <w:t>German Aerospace Center</w:t>
            </w:r>
          </w:p>
        </w:tc>
      </w:tr>
      <w:tr>
        <w:trPr>
          <w:trHeight w:val="300" w:hRule="atLeast"/>
        </w:trPr>
        <w:tc>
          <w:tcPr>
            <w:tcW w:w="1159" w:type="dxa"/>
          </w:tcPr>
          <w:p>
            <w:pPr>
              <w:pStyle w:val="TableParagraph"/>
              <w:ind w:left="0" w:right="70"/>
              <w:jc w:val="right"/>
              <w:rPr>
                <w:b/>
                <w:sz w:val="22"/>
              </w:rPr>
            </w:pPr>
            <w:r>
              <w:rPr>
                <w:b/>
                <w:color w:val="585858"/>
                <w:sz w:val="22"/>
              </w:rPr>
              <w:t>DLR-PT</w:t>
            </w:r>
          </w:p>
        </w:tc>
        <w:tc>
          <w:tcPr>
            <w:tcW w:w="7430" w:type="dxa"/>
          </w:tcPr>
          <w:p>
            <w:pPr>
              <w:pStyle w:val="TableParagraph"/>
              <w:rPr>
                <w:sz w:val="22"/>
              </w:rPr>
            </w:pPr>
            <w:r>
              <w:rPr>
                <w:color w:val="585858"/>
                <w:sz w:val="22"/>
              </w:rPr>
              <w:t>German Aerospace Center - Project Management Agency</w:t>
            </w:r>
          </w:p>
        </w:tc>
      </w:tr>
      <w:tr>
        <w:trPr>
          <w:trHeight w:val="300" w:hRule="atLeast"/>
        </w:trPr>
        <w:tc>
          <w:tcPr>
            <w:tcW w:w="1159" w:type="dxa"/>
          </w:tcPr>
          <w:p>
            <w:pPr>
              <w:pStyle w:val="TableParagraph"/>
              <w:ind w:left="0" w:right="69"/>
              <w:jc w:val="right"/>
              <w:rPr>
                <w:b/>
                <w:sz w:val="22"/>
              </w:rPr>
            </w:pPr>
            <w:r>
              <w:rPr>
                <w:b/>
                <w:color w:val="585858"/>
                <w:sz w:val="22"/>
              </w:rPr>
              <w:t>DoA</w:t>
            </w:r>
          </w:p>
        </w:tc>
        <w:tc>
          <w:tcPr>
            <w:tcW w:w="7430" w:type="dxa"/>
          </w:tcPr>
          <w:p>
            <w:pPr>
              <w:pStyle w:val="TableParagraph"/>
              <w:rPr>
                <w:sz w:val="22"/>
              </w:rPr>
            </w:pPr>
            <w:r>
              <w:rPr>
                <w:color w:val="585858"/>
                <w:sz w:val="22"/>
              </w:rPr>
              <w:t>Description of Action</w:t>
            </w:r>
          </w:p>
        </w:tc>
      </w:tr>
      <w:tr>
        <w:trPr>
          <w:trHeight w:val="300" w:hRule="atLeast"/>
        </w:trPr>
        <w:tc>
          <w:tcPr>
            <w:tcW w:w="1159" w:type="dxa"/>
          </w:tcPr>
          <w:p>
            <w:pPr>
              <w:pStyle w:val="TableParagraph"/>
              <w:ind w:left="0" w:right="68"/>
              <w:jc w:val="right"/>
              <w:rPr>
                <w:b/>
                <w:sz w:val="22"/>
              </w:rPr>
            </w:pPr>
            <w:r>
              <w:rPr>
                <w:b/>
                <w:color w:val="585858"/>
                <w:sz w:val="22"/>
              </w:rPr>
              <w:t>DoW</w:t>
            </w:r>
          </w:p>
        </w:tc>
        <w:tc>
          <w:tcPr>
            <w:tcW w:w="7430" w:type="dxa"/>
          </w:tcPr>
          <w:p>
            <w:pPr>
              <w:pStyle w:val="TableParagraph"/>
              <w:rPr>
                <w:sz w:val="22"/>
              </w:rPr>
            </w:pPr>
            <w:r>
              <w:rPr>
                <w:color w:val="585858"/>
                <w:sz w:val="22"/>
              </w:rPr>
              <w:t>Description of Work</w:t>
            </w:r>
          </w:p>
        </w:tc>
      </w:tr>
      <w:tr>
        <w:trPr>
          <w:trHeight w:val="300" w:hRule="atLeast"/>
        </w:trPr>
        <w:tc>
          <w:tcPr>
            <w:tcW w:w="1159" w:type="dxa"/>
          </w:tcPr>
          <w:p>
            <w:pPr>
              <w:pStyle w:val="TableParagraph"/>
              <w:ind w:left="0" w:right="70"/>
              <w:jc w:val="right"/>
              <w:rPr>
                <w:b/>
                <w:sz w:val="22"/>
              </w:rPr>
            </w:pPr>
            <w:r>
              <w:rPr>
                <w:b/>
                <w:color w:val="585858"/>
                <w:sz w:val="22"/>
              </w:rPr>
              <w:t>DST</w:t>
            </w:r>
          </w:p>
        </w:tc>
        <w:tc>
          <w:tcPr>
            <w:tcW w:w="7430" w:type="dxa"/>
          </w:tcPr>
          <w:p>
            <w:pPr>
              <w:pStyle w:val="TableParagraph"/>
              <w:rPr>
                <w:sz w:val="22"/>
              </w:rPr>
            </w:pPr>
            <w:r>
              <w:rPr>
                <w:color w:val="585858"/>
                <w:sz w:val="22"/>
              </w:rPr>
              <w:t>Department of Science and Technology, South Africa</w:t>
            </w:r>
          </w:p>
        </w:tc>
      </w:tr>
      <w:tr>
        <w:trPr>
          <w:trHeight w:val="300" w:hRule="atLeast"/>
        </w:trPr>
        <w:tc>
          <w:tcPr>
            <w:tcW w:w="1159" w:type="dxa"/>
          </w:tcPr>
          <w:p>
            <w:pPr>
              <w:pStyle w:val="TableParagraph"/>
              <w:ind w:left="0" w:right="66"/>
              <w:jc w:val="right"/>
              <w:rPr>
                <w:b/>
                <w:sz w:val="22"/>
              </w:rPr>
            </w:pPr>
            <w:r>
              <w:rPr>
                <w:b/>
                <w:color w:val="585858"/>
                <w:sz w:val="22"/>
              </w:rPr>
              <w:t>ECCP</w:t>
            </w:r>
          </w:p>
        </w:tc>
        <w:tc>
          <w:tcPr>
            <w:tcW w:w="7430" w:type="dxa"/>
          </w:tcPr>
          <w:p>
            <w:pPr>
              <w:pStyle w:val="TableParagraph"/>
              <w:rPr>
                <w:sz w:val="22"/>
              </w:rPr>
            </w:pPr>
            <w:r>
              <w:rPr>
                <w:color w:val="585858"/>
                <w:sz w:val="22"/>
              </w:rPr>
              <w:t>Electronic Content Collaboration Platform , PRE-LEAP-RE partners only</w:t>
            </w:r>
          </w:p>
        </w:tc>
      </w:tr>
      <w:tr>
        <w:trPr>
          <w:trHeight w:val="300" w:hRule="atLeast"/>
        </w:trPr>
        <w:tc>
          <w:tcPr>
            <w:tcW w:w="1159" w:type="dxa"/>
          </w:tcPr>
          <w:p>
            <w:pPr>
              <w:pStyle w:val="TableParagraph"/>
              <w:ind w:left="0" w:right="67"/>
              <w:jc w:val="right"/>
              <w:rPr>
                <w:b/>
                <w:sz w:val="22"/>
              </w:rPr>
            </w:pPr>
            <w:r>
              <w:rPr>
                <w:b/>
                <w:color w:val="585858"/>
                <w:sz w:val="22"/>
              </w:rPr>
              <w:t>EERA</w:t>
            </w:r>
          </w:p>
        </w:tc>
        <w:tc>
          <w:tcPr>
            <w:tcW w:w="7430" w:type="dxa"/>
          </w:tcPr>
          <w:p>
            <w:pPr>
              <w:pStyle w:val="TableParagraph"/>
              <w:rPr>
                <w:sz w:val="22"/>
              </w:rPr>
            </w:pPr>
            <w:r>
              <w:rPr>
                <w:color w:val="585858"/>
                <w:sz w:val="22"/>
              </w:rPr>
              <w:t>European Energy Research Alliance</w:t>
            </w:r>
          </w:p>
        </w:tc>
      </w:tr>
      <w:tr>
        <w:trPr>
          <w:trHeight w:val="300" w:hRule="atLeast"/>
        </w:trPr>
        <w:tc>
          <w:tcPr>
            <w:tcW w:w="1159" w:type="dxa"/>
          </w:tcPr>
          <w:p>
            <w:pPr>
              <w:pStyle w:val="TableParagraph"/>
              <w:ind w:left="0" w:right="69"/>
              <w:jc w:val="right"/>
              <w:rPr>
                <w:b/>
                <w:sz w:val="22"/>
              </w:rPr>
            </w:pPr>
            <w:r>
              <w:rPr>
                <w:b/>
                <w:color w:val="585858"/>
                <w:sz w:val="22"/>
              </w:rPr>
              <w:t>EJP</w:t>
            </w:r>
          </w:p>
        </w:tc>
        <w:tc>
          <w:tcPr>
            <w:tcW w:w="7430" w:type="dxa"/>
          </w:tcPr>
          <w:p>
            <w:pPr>
              <w:pStyle w:val="TableParagraph"/>
              <w:rPr>
                <w:sz w:val="22"/>
              </w:rPr>
            </w:pPr>
            <w:r>
              <w:rPr>
                <w:color w:val="585858"/>
                <w:sz w:val="22"/>
              </w:rPr>
              <w:t>European Joint Programming</w:t>
            </w:r>
          </w:p>
        </w:tc>
      </w:tr>
      <w:tr>
        <w:trPr>
          <w:trHeight w:val="300" w:hRule="atLeast"/>
        </w:trPr>
        <w:tc>
          <w:tcPr>
            <w:tcW w:w="1159" w:type="dxa"/>
          </w:tcPr>
          <w:p>
            <w:pPr>
              <w:pStyle w:val="TableParagraph"/>
              <w:ind w:left="0" w:right="67"/>
              <w:jc w:val="right"/>
              <w:rPr>
                <w:b/>
                <w:sz w:val="22"/>
              </w:rPr>
            </w:pPr>
            <w:r>
              <w:rPr>
                <w:b/>
                <w:color w:val="585858"/>
                <w:sz w:val="22"/>
              </w:rPr>
              <w:t>EoI</w:t>
            </w:r>
          </w:p>
        </w:tc>
        <w:tc>
          <w:tcPr>
            <w:tcW w:w="7430" w:type="dxa"/>
          </w:tcPr>
          <w:p>
            <w:pPr>
              <w:pStyle w:val="TableParagraph"/>
              <w:rPr>
                <w:sz w:val="22"/>
              </w:rPr>
            </w:pPr>
            <w:r>
              <w:rPr>
                <w:color w:val="585858"/>
                <w:sz w:val="22"/>
              </w:rPr>
              <w:t>Expression of Interest</w:t>
            </w:r>
          </w:p>
        </w:tc>
      </w:tr>
      <w:tr>
        <w:trPr>
          <w:trHeight w:val="300" w:hRule="atLeast"/>
        </w:trPr>
        <w:tc>
          <w:tcPr>
            <w:tcW w:w="1159" w:type="dxa"/>
          </w:tcPr>
          <w:p>
            <w:pPr>
              <w:pStyle w:val="TableParagraph"/>
              <w:ind w:left="0" w:right="68"/>
              <w:jc w:val="right"/>
              <w:rPr>
                <w:b/>
                <w:sz w:val="22"/>
              </w:rPr>
            </w:pPr>
            <w:r>
              <w:rPr>
                <w:b/>
                <w:color w:val="585858"/>
                <w:sz w:val="22"/>
              </w:rPr>
              <w:t>EU</w:t>
            </w:r>
          </w:p>
        </w:tc>
        <w:tc>
          <w:tcPr>
            <w:tcW w:w="7430" w:type="dxa"/>
          </w:tcPr>
          <w:p>
            <w:pPr>
              <w:pStyle w:val="TableParagraph"/>
              <w:rPr>
                <w:sz w:val="22"/>
              </w:rPr>
            </w:pPr>
            <w:r>
              <w:rPr>
                <w:color w:val="585858"/>
                <w:sz w:val="22"/>
              </w:rPr>
              <w:t>European Union</w:t>
            </w:r>
          </w:p>
        </w:tc>
      </w:tr>
      <w:tr>
        <w:trPr>
          <w:trHeight w:val="300" w:hRule="atLeast"/>
        </w:trPr>
        <w:tc>
          <w:tcPr>
            <w:tcW w:w="1159" w:type="dxa"/>
          </w:tcPr>
          <w:p>
            <w:pPr>
              <w:pStyle w:val="TableParagraph"/>
              <w:ind w:left="0" w:right="67"/>
              <w:jc w:val="right"/>
              <w:rPr>
                <w:b/>
                <w:sz w:val="22"/>
              </w:rPr>
            </w:pPr>
            <w:r>
              <w:rPr>
                <w:b/>
                <w:color w:val="585858"/>
                <w:sz w:val="22"/>
              </w:rPr>
              <w:t>FCT</w:t>
            </w:r>
          </w:p>
        </w:tc>
        <w:tc>
          <w:tcPr>
            <w:tcW w:w="7430" w:type="dxa"/>
          </w:tcPr>
          <w:p>
            <w:pPr>
              <w:pStyle w:val="TableParagraph"/>
              <w:rPr>
                <w:sz w:val="22"/>
              </w:rPr>
            </w:pPr>
            <w:r>
              <w:rPr>
                <w:color w:val="585858"/>
                <w:sz w:val="22"/>
              </w:rPr>
              <w:t>Fundação para a Ciência e a Tecnologia, Portugal</w:t>
            </w:r>
          </w:p>
        </w:tc>
      </w:tr>
      <w:tr>
        <w:trPr>
          <w:trHeight w:val="300" w:hRule="atLeast"/>
        </w:trPr>
        <w:tc>
          <w:tcPr>
            <w:tcW w:w="1159" w:type="dxa"/>
          </w:tcPr>
          <w:p>
            <w:pPr>
              <w:pStyle w:val="TableParagraph"/>
              <w:ind w:left="0" w:right="69"/>
              <w:jc w:val="right"/>
              <w:rPr>
                <w:b/>
                <w:sz w:val="22"/>
              </w:rPr>
            </w:pPr>
            <w:r>
              <w:rPr>
                <w:b/>
                <w:color w:val="585858"/>
                <w:sz w:val="22"/>
              </w:rPr>
              <w:t>FNSSA</w:t>
            </w:r>
          </w:p>
        </w:tc>
        <w:tc>
          <w:tcPr>
            <w:tcW w:w="7430" w:type="dxa"/>
          </w:tcPr>
          <w:p>
            <w:pPr>
              <w:pStyle w:val="TableParagraph"/>
              <w:rPr>
                <w:sz w:val="22"/>
              </w:rPr>
            </w:pPr>
            <w:r>
              <w:rPr>
                <w:color w:val="585858"/>
                <w:sz w:val="22"/>
              </w:rPr>
              <w:t>Food and Nutrition Security and Sustainable Agriculture</w:t>
            </w:r>
          </w:p>
        </w:tc>
      </w:tr>
      <w:tr>
        <w:trPr>
          <w:trHeight w:val="300" w:hRule="atLeast"/>
        </w:trPr>
        <w:tc>
          <w:tcPr>
            <w:tcW w:w="1159" w:type="dxa"/>
          </w:tcPr>
          <w:p>
            <w:pPr>
              <w:pStyle w:val="TableParagraph"/>
              <w:ind w:left="0" w:right="66"/>
              <w:jc w:val="right"/>
              <w:rPr>
                <w:b/>
                <w:sz w:val="22"/>
              </w:rPr>
            </w:pPr>
            <w:r>
              <w:rPr>
                <w:b/>
                <w:color w:val="585858"/>
                <w:sz w:val="22"/>
              </w:rPr>
              <w:t>GA</w:t>
            </w:r>
          </w:p>
        </w:tc>
        <w:tc>
          <w:tcPr>
            <w:tcW w:w="7430" w:type="dxa"/>
          </w:tcPr>
          <w:p>
            <w:pPr>
              <w:pStyle w:val="TableParagraph"/>
              <w:rPr>
                <w:sz w:val="22"/>
              </w:rPr>
            </w:pPr>
            <w:r>
              <w:rPr>
                <w:color w:val="585858"/>
                <w:sz w:val="22"/>
              </w:rPr>
              <w:t>Grant Agreement; also AMAGA</w:t>
            </w:r>
          </w:p>
        </w:tc>
      </w:tr>
      <w:tr>
        <w:trPr>
          <w:trHeight w:val="553" w:hRule="atLeast"/>
        </w:trPr>
        <w:tc>
          <w:tcPr>
            <w:tcW w:w="1159" w:type="dxa"/>
          </w:tcPr>
          <w:p>
            <w:pPr>
              <w:pStyle w:val="TableParagraph"/>
              <w:ind w:left="0" w:right="66"/>
              <w:jc w:val="right"/>
              <w:rPr>
                <w:b/>
                <w:sz w:val="22"/>
              </w:rPr>
            </w:pPr>
            <w:r>
              <w:rPr>
                <w:b/>
                <w:color w:val="585858"/>
                <w:sz w:val="22"/>
              </w:rPr>
              <w:t>GC</w:t>
            </w:r>
          </w:p>
        </w:tc>
        <w:tc>
          <w:tcPr>
            <w:tcW w:w="7430" w:type="dxa"/>
          </w:tcPr>
          <w:p>
            <w:pPr>
              <w:pStyle w:val="TableParagraph"/>
              <w:spacing w:line="240" w:lineRule="auto"/>
              <w:ind w:right="214"/>
              <w:rPr>
                <w:sz w:val="22"/>
              </w:rPr>
            </w:pPr>
            <w:r>
              <w:rPr>
                <w:color w:val="585858"/>
                <w:sz w:val="22"/>
              </w:rPr>
              <w:t>Group of Contributors (Ministries, funding agencies, public and private research institutions and actors from the private sector like e.g.entrepreneurs)</w:t>
            </w:r>
          </w:p>
        </w:tc>
      </w:tr>
      <w:tr>
        <w:trPr>
          <w:trHeight w:val="284" w:hRule="atLeast"/>
        </w:trPr>
        <w:tc>
          <w:tcPr>
            <w:tcW w:w="1159" w:type="dxa"/>
          </w:tcPr>
          <w:p>
            <w:pPr>
              <w:pStyle w:val="TableParagraph"/>
              <w:spacing w:line="249" w:lineRule="exact"/>
              <w:ind w:left="0" w:right="66"/>
              <w:jc w:val="right"/>
              <w:rPr>
                <w:b/>
                <w:sz w:val="22"/>
              </w:rPr>
            </w:pPr>
            <w:r>
              <w:rPr>
                <w:b/>
                <w:color w:val="585858"/>
                <w:sz w:val="22"/>
              </w:rPr>
              <w:t>HLPD</w:t>
            </w:r>
          </w:p>
        </w:tc>
        <w:tc>
          <w:tcPr>
            <w:tcW w:w="7430" w:type="dxa"/>
          </w:tcPr>
          <w:p>
            <w:pPr>
              <w:pStyle w:val="TableParagraph"/>
              <w:spacing w:line="249" w:lineRule="exact"/>
              <w:rPr>
                <w:sz w:val="22"/>
              </w:rPr>
            </w:pPr>
            <w:r>
              <w:rPr>
                <w:color w:val="585858"/>
                <w:sz w:val="22"/>
              </w:rPr>
              <w:t>Hich Level Policy Dialogue</w:t>
            </w:r>
          </w:p>
        </w:tc>
      </w:tr>
      <w:tr>
        <w:trPr>
          <w:trHeight w:val="300" w:hRule="atLeast"/>
        </w:trPr>
        <w:tc>
          <w:tcPr>
            <w:tcW w:w="1159" w:type="dxa"/>
          </w:tcPr>
          <w:p>
            <w:pPr>
              <w:pStyle w:val="TableParagraph"/>
              <w:spacing w:line="265" w:lineRule="exact"/>
              <w:ind w:left="0" w:right="65"/>
              <w:jc w:val="right"/>
              <w:rPr>
                <w:b/>
                <w:sz w:val="22"/>
              </w:rPr>
            </w:pPr>
            <w:r>
              <w:rPr>
                <w:b/>
                <w:color w:val="585858"/>
                <w:sz w:val="22"/>
              </w:rPr>
              <w:t>IE</w:t>
            </w:r>
          </w:p>
        </w:tc>
        <w:tc>
          <w:tcPr>
            <w:tcW w:w="7430" w:type="dxa"/>
          </w:tcPr>
          <w:p>
            <w:pPr>
              <w:pStyle w:val="TableParagraph"/>
              <w:spacing w:line="265" w:lineRule="exact"/>
              <w:rPr>
                <w:sz w:val="22"/>
              </w:rPr>
            </w:pPr>
            <w:r>
              <w:rPr>
                <w:color w:val="585858"/>
                <w:sz w:val="22"/>
              </w:rPr>
              <w:t>KIC Innoenergy SE, Belgium</w:t>
            </w:r>
          </w:p>
        </w:tc>
      </w:tr>
      <w:tr>
        <w:trPr>
          <w:trHeight w:val="300" w:hRule="atLeast"/>
        </w:trPr>
        <w:tc>
          <w:tcPr>
            <w:tcW w:w="1159" w:type="dxa"/>
          </w:tcPr>
          <w:p>
            <w:pPr>
              <w:pStyle w:val="TableParagraph"/>
              <w:ind w:left="0" w:right="67"/>
              <w:jc w:val="right"/>
              <w:rPr>
                <w:b/>
                <w:sz w:val="22"/>
              </w:rPr>
            </w:pPr>
            <w:r>
              <w:rPr>
                <w:b/>
                <w:color w:val="585858"/>
                <w:sz w:val="22"/>
              </w:rPr>
              <w:t>IPR</w:t>
            </w:r>
          </w:p>
        </w:tc>
        <w:tc>
          <w:tcPr>
            <w:tcW w:w="7430" w:type="dxa"/>
          </w:tcPr>
          <w:p>
            <w:pPr>
              <w:pStyle w:val="TableParagraph"/>
              <w:rPr>
                <w:sz w:val="22"/>
              </w:rPr>
            </w:pPr>
            <w:r>
              <w:rPr>
                <w:color w:val="585858"/>
                <w:sz w:val="22"/>
              </w:rPr>
              <w:t>Intellectual Property Rights</w:t>
            </w:r>
          </w:p>
        </w:tc>
      </w:tr>
      <w:tr>
        <w:trPr>
          <w:trHeight w:val="299" w:hRule="atLeast"/>
        </w:trPr>
        <w:tc>
          <w:tcPr>
            <w:tcW w:w="1159" w:type="dxa"/>
          </w:tcPr>
          <w:p>
            <w:pPr>
              <w:pStyle w:val="TableParagraph"/>
              <w:ind w:left="0" w:right="69"/>
              <w:jc w:val="right"/>
              <w:rPr>
                <w:b/>
                <w:sz w:val="22"/>
              </w:rPr>
            </w:pPr>
            <w:r>
              <w:rPr>
                <w:b/>
                <w:color w:val="585858"/>
                <w:sz w:val="22"/>
              </w:rPr>
              <w:t>JYU</w:t>
            </w:r>
          </w:p>
        </w:tc>
        <w:tc>
          <w:tcPr>
            <w:tcW w:w="7430" w:type="dxa"/>
          </w:tcPr>
          <w:p>
            <w:pPr>
              <w:pStyle w:val="TableParagraph"/>
              <w:rPr>
                <w:sz w:val="22"/>
              </w:rPr>
            </w:pPr>
            <w:r>
              <w:rPr>
                <w:color w:val="585858"/>
                <w:sz w:val="22"/>
              </w:rPr>
              <w:t>Jyväskylä Yliopisto/University of Jyväskylä, Finland</w:t>
            </w:r>
          </w:p>
        </w:tc>
      </w:tr>
      <w:tr>
        <w:trPr>
          <w:trHeight w:val="300" w:hRule="atLeast"/>
        </w:trPr>
        <w:tc>
          <w:tcPr>
            <w:tcW w:w="1159" w:type="dxa"/>
          </w:tcPr>
          <w:p>
            <w:pPr>
              <w:pStyle w:val="TableParagraph"/>
              <w:ind w:left="0" w:right="66"/>
              <w:jc w:val="right"/>
              <w:rPr>
                <w:b/>
                <w:sz w:val="22"/>
              </w:rPr>
            </w:pPr>
            <w:r>
              <w:rPr>
                <w:b/>
                <w:color w:val="585858"/>
                <w:sz w:val="22"/>
              </w:rPr>
              <w:t>KINNO</w:t>
            </w:r>
          </w:p>
        </w:tc>
        <w:tc>
          <w:tcPr>
            <w:tcW w:w="7430" w:type="dxa"/>
          </w:tcPr>
          <w:p>
            <w:pPr>
              <w:pStyle w:val="TableParagraph"/>
              <w:rPr>
                <w:sz w:val="22"/>
              </w:rPr>
            </w:pPr>
            <w:r>
              <w:rPr>
                <w:color w:val="585858"/>
                <w:sz w:val="22"/>
              </w:rPr>
              <w:t>Knowledge &amp; Innovation Consultanta Symvouleftiki Monoprosopi Epe, Greece</w:t>
            </w:r>
          </w:p>
        </w:tc>
      </w:tr>
      <w:tr>
        <w:trPr>
          <w:trHeight w:val="300" w:hRule="atLeast"/>
        </w:trPr>
        <w:tc>
          <w:tcPr>
            <w:tcW w:w="1159" w:type="dxa"/>
          </w:tcPr>
          <w:p>
            <w:pPr>
              <w:pStyle w:val="TableParagraph"/>
              <w:ind w:left="0" w:right="68"/>
              <w:jc w:val="right"/>
              <w:rPr>
                <w:b/>
                <w:sz w:val="22"/>
              </w:rPr>
            </w:pPr>
            <w:r>
              <w:rPr>
                <w:b/>
                <w:color w:val="585858"/>
                <w:sz w:val="22"/>
              </w:rPr>
              <w:t>KMCF</w:t>
            </w:r>
          </w:p>
        </w:tc>
        <w:tc>
          <w:tcPr>
            <w:tcW w:w="7430" w:type="dxa"/>
          </w:tcPr>
          <w:p>
            <w:pPr>
              <w:pStyle w:val="TableParagraph"/>
              <w:rPr>
                <w:sz w:val="22"/>
              </w:rPr>
            </w:pPr>
            <w:r>
              <w:rPr>
                <w:color w:val="585858"/>
                <w:sz w:val="22"/>
              </w:rPr>
              <w:t>Knowledge Management and Communication Framework</w:t>
            </w:r>
          </w:p>
        </w:tc>
      </w:tr>
      <w:tr>
        <w:trPr>
          <w:trHeight w:val="300" w:hRule="atLeast"/>
        </w:trPr>
        <w:tc>
          <w:tcPr>
            <w:tcW w:w="1159" w:type="dxa"/>
          </w:tcPr>
          <w:p>
            <w:pPr>
              <w:pStyle w:val="TableParagraph"/>
              <w:ind w:left="0" w:right="66"/>
              <w:jc w:val="right"/>
              <w:rPr>
                <w:b/>
                <w:sz w:val="22"/>
              </w:rPr>
            </w:pPr>
            <w:r>
              <w:rPr>
                <w:b/>
                <w:color w:val="585858"/>
                <w:sz w:val="22"/>
              </w:rPr>
              <w:t>LEAP</w:t>
            </w:r>
          </w:p>
        </w:tc>
        <w:tc>
          <w:tcPr>
            <w:tcW w:w="7430" w:type="dxa"/>
          </w:tcPr>
          <w:p>
            <w:pPr>
              <w:pStyle w:val="TableParagraph"/>
              <w:rPr>
                <w:sz w:val="22"/>
              </w:rPr>
            </w:pPr>
            <w:r>
              <w:rPr>
                <w:color w:val="585858"/>
                <w:sz w:val="22"/>
              </w:rPr>
              <w:t>Long-term Joint EU-AU Research and Innovation Partnership</w:t>
            </w:r>
          </w:p>
        </w:tc>
      </w:tr>
      <w:tr>
        <w:trPr>
          <w:trHeight w:val="552" w:hRule="atLeast"/>
        </w:trPr>
        <w:tc>
          <w:tcPr>
            <w:tcW w:w="1159" w:type="dxa"/>
          </w:tcPr>
          <w:p>
            <w:pPr>
              <w:pStyle w:val="TableParagraph"/>
              <w:ind w:left="0" w:right="67"/>
              <w:jc w:val="right"/>
              <w:rPr>
                <w:b/>
                <w:sz w:val="22"/>
              </w:rPr>
            </w:pPr>
            <w:r>
              <w:rPr>
                <w:b/>
                <w:color w:val="585858"/>
                <w:sz w:val="22"/>
              </w:rPr>
              <w:t>LEAP-Agri</w:t>
            </w:r>
          </w:p>
        </w:tc>
        <w:tc>
          <w:tcPr>
            <w:tcW w:w="7430" w:type="dxa"/>
          </w:tcPr>
          <w:p>
            <w:pPr>
              <w:pStyle w:val="TableParagraph"/>
              <w:rPr>
                <w:sz w:val="22"/>
              </w:rPr>
            </w:pPr>
            <w:r>
              <w:rPr>
                <w:color w:val="585858"/>
                <w:sz w:val="22"/>
              </w:rPr>
              <w:t>Long-term Joint EU-AU Research and Innovation Partnership on FNSSA (ERA-Net</w:t>
            </w:r>
          </w:p>
          <w:p>
            <w:pPr>
              <w:pStyle w:val="TableParagraph"/>
              <w:spacing w:line="267" w:lineRule="exact"/>
              <w:rPr>
                <w:sz w:val="22"/>
              </w:rPr>
            </w:pPr>
            <w:r>
              <w:rPr>
                <w:color w:val="585858"/>
                <w:sz w:val="22"/>
              </w:rPr>
              <w:t>Cofund)</w:t>
            </w:r>
          </w:p>
        </w:tc>
      </w:tr>
      <w:tr>
        <w:trPr>
          <w:trHeight w:val="536" w:hRule="atLeast"/>
        </w:trPr>
        <w:tc>
          <w:tcPr>
            <w:tcW w:w="1159" w:type="dxa"/>
          </w:tcPr>
          <w:p>
            <w:pPr>
              <w:pStyle w:val="TableParagraph"/>
              <w:spacing w:line="247" w:lineRule="exact"/>
              <w:ind w:left="0" w:right="68"/>
              <w:jc w:val="right"/>
              <w:rPr>
                <w:b/>
                <w:sz w:val="22"/>
              </w:rPr>
            </w:pPr>
            <w:r>
              <w:rPr>
                <w:b/>
                <w:color w:val="585858"/>
                <w:sz w:val="22"/>
              </w:rPr>
              <w:t>LEAP-RE</w:t>
            </w:r>
          </w:p>
        </w:tc>
        <w:tc>
          <w:tcPr>
            <w:tcW w:w="7430" w:type="dxa"/>
          </w:tcPr>
          <w:p>
            <w:pPr>
              <w:pStyle w:val="TableParagraph"/>
              <w:spacing w:line="247" w:lineRule="exact"/>
              <w:rPr>
                <w:sz w:val="22"/>
              </w:rPr>
            </w:pPr>
            <w:r>
              <w:rPr>
                <w:color w:val="585858"/>
                <w:sz w:val="22"/>
              </w:rPr>
              <w:t>Long-term Joint EU-AU Research and Innovation Partnership on Renewable</w:t>
            </w:r>
          </w:p>
          <w:p>
            <w:pPr>
              <w:pStyle w:val="TableParagraph"/>
              <w:spacing w:line="240" w:lineRule="auto"/>
              <w:rPr>
                <w:sz w:val="22"/>
              </w:rPr>
            </w:pPr>
            <w:r>
              <w:rPr>
                <w:color w:val="585858"/>
                <w:sz w:val="22"/>
              </w:rPr>
              <w:t>Energy (RIA)</w:t>
            </w:r>
          </w:p>
        </w:tc>
      </w:tr>
      <w:tr>
        <w:trPr>
          <w:trHeight w:val="284" w:hRule="atLeast"/>
        </w:trPr>
        <w:tc>
          <w:tcPr>
            <w:tcW w:w="1159" w:type="dxa"/>
          </w:tcPr>
          <w:p>
            <w:pPr>
              <w:pStyle w:val="TableParagraph"/>
              <w:spacing w:line="249" w:lineRule="exact"/>
              <w:ind w:left="0" w:right="68"/>
              <w:jc w:val="right"/>
              <w:rPr>
                <w:b/>
                <w:sz w:val="22"/>
              </w:rPr>
            </w:pPr>
            <w:r>
              <w:rPr>
                <w:b/>
                <w:color w:val="585858"/>
                <w:sz w:val="22"/>
              </w:rPr>
              <w:t>LGI</w:t>
            </w:r>
          </w:p>
        </w:tc>
        <w:tc>
          <w:tcPr>
            <w:tcW w:w="7430" w:type="dxa"/>
          </w:tcPr>
          <w:p>
            <w:pPr>
              <w:pStyle w:val="TableParagraph"/>
              <w:spacing w:line="249" w:lineRule="exact"/>
              <w:rPr>
                <w:sz w:val="22"/>
              </w:rPr>
            </w:pPr>
            <w:r>
              <w:rPr>
                <w:color w:val="585858"/>
                <w:sz w:val="22"/>
              </w:rPr>
              <w:t>LGI Consulting, France</w:t>
            </w:r>
          </w:p>
        </w:tc>
      </w:tr>
      <w:tr>
        <w:trPr>
          <w:trHeight w:val="300" w:hRule="atLeast"/>
        </w:trPr>
        <w:tc>
          <w:tcPr>
            <w:tcW w:w="1159" w:type="dxa"/>
          </w:tcPr>
          <w:p>
            <w:pPr>
              <w:pStyle w:val="TableParagraph"/>
              <w:ind w:left="0" w:right="68"/>
              <w:jc w:val="right"/>
              <w:rPr>
                <w:b/>
                <w:sz w:val="22"/>
              </w:rPr>
            </w:pPr>
            <w:r>
              <w:rPr>
                <w:b/>
                <w:color w:val="585858"/>
                <w:sz w:val="22"/>
              </w:rPr>
              <w:t>MESRS</w:t>
            </w:r>
          </w:p>
        </w:tc>
        <w:tc>
          <w:tcPr>
            <w:tcW w:w="7430" w:type="dxa"/>
          </w:tcPr>
          <w:p>
            <w:pPr>
              <w:pStyle w:val="TableParagraph"/>
              <w:rPr>
                <w:sz w:val="22"/>
              </w:rPr>
            </w:pPr>
            <w:r>
              <w:rPr>
                <w:color w:val="585858"/>
                <w:sz w:val="22"/>
              </w:rPr>
              <w:t>Ministry of Higher Education and Scientific Research, Algeria</w:t>
            </w:r>
          </w:p>
        </w:tc>
      </w:tr>
      <w:tr>
        <w:trPr>
          <w:trHeight w:val="300" w:hRule="atLeast"/>
        </w:trPr>
        <w:tc>
          <w:tcPr>
            <w:tcW w:w="1159" w:type="dxa"/>
          </w:tcPr>
          <w:p>
            <w:pPr>
              <w:pStyle w:val="TableParagraph"/>
              <w:ind w:left="0" w:right="71"/>
              <w:jc w:val="right"/>
              <w:rPr>
                <w:b/>
                <w:sz w:val="22"/>
              </w:rPr>
            </w:pPr>
            <w:r>
              <w:rPr>
                <w:b/>
                <w:color w:val="585858"/>
                <w:sz w:val="22"/>
              </w:rPr>
              <w:t>MI</w:t>
            </w:r>
          </w:p>
        </w:tc>
        <w:tc>
          <w:tcPr>
            <w:tcW w:w="7430" w:type="dxa"/>
          </w:tcPr>
          <w:p>
            <w:pPr>
              <w:pStyle w:val="TableParagraph"/>
              <w:rPr>
                <w:sz w:val="22"/>
              </w:rPr>
            </w:pPr>
            <w:r>
              <w:rPr>
                <w:color w:val="585858"/>
                <w:sz w:val="22"/>
              </w:rPr>
              <w:t>Mission Innovation</w:t>
            </w:r>
          </w:p>
        </w:tc>
      </w:tr>
      <w:tr>
        <w:trPr>
          <w:trHeight w:val="300" w:hRule="atLeast"/>
        </w:trPr>
        <w:tc>
          <w:tcPr>
            <w:tcW w:w="1159" w:type="dxa"/>
          </w:tcPr>
          <w:p>
            <w:pPr>
              <w:pStyle w:val="TableParagraph"/>
              <w:ind w:left="0" w:right="66"/>
              <w:jc w:val="right"/>
              <w:rPr>
                <w:b/>
                <w:sz w:val="22"/>
              </w:rPr>
            </w:pPr>
            <w:r>
              <w:rPr>
                <w:b/>
                <w:color w:val="585858"/>
                <w:sz w:val="22"/>
              </w:rPr>
              <w:t>NRF</w:t>
            </w:r>
          </w:p>
        </w:tc>
        <w:tc>
          <w:tcPr>
            <w:tcW w:w="7430" w:type="dxa"/>
          </w:tcPr>
          <w:p>
            <w:pPr>
              <w:pStyle w:val="TableParagraph"/>
              <w:rPr>
                <w:sz w:val="22"/>
              </w:rPr>
            </w:pPr>
            <w:r>
              <w:rPr>
                <w:color w:val="585858"/>
                <w:sz w:val="22"/>
              </w:rPr>
              <w:t>National Research Foundation, South Africa</w:t>
            </w:r>
          </w:p>
        </w:tc>
      </w:tr>
      <w:tr>
        <w:trPr>
          <w:trHeight w:val="260" w:hRule="atLeast"/>
        </w:trPr>
        <w:tc>
          <w:tcPr>
            <w:tcW w:w="1159" w:type="dxa"/>
          </w:tcPr>
          <w:p>
            <w:pPr>
              <w:pStyle w:val="TableParagraph"/>
              <w:spacing w:line="240" w:lineRule="exact"/>
              <w:ind w:left="0" w:right="66"/>
              <w:jc w:val="right"/>
              <w:rPr>
                <w:b/>
                <w:sz w:val="22"/>
              </w:rPr>
            </w:pPr>
            <w:r>
              <w:rPr>
                <w:b/>
                <w:color w:val="585858"/>
                <w:sz w:val="22"/>
              </w:rPr>
              <w:t>NWO</w:t>
            </w:r>
          </w:p>
        </w:tc>
        <w:tc>
          <w:tcPr>
            <w:tcW w:w="7430" w:type="dxa"/>
          </w:tcPr>
          <w:p>
            <w:pPr>
              <w:pStyle w:val="TableParagraph"/>
              <w:spacing w:line="240" w:lineRule="exact"/>
              <w:rPr>
                <w:sz w:val="22"/>
              </w:rPr>
            </w:pPr>
            <w:r>
              <w:rPr>
                <w:color w:val="585858"/>
                <w:sz w:val="22"/>
              </w:rPr>
              <w:t>Netherlands Organisation for Scientific Research</w:t>
            </w:r>
          </w:p>
        </w:tc>
      </w:tr>
    </w:tbl>
    <w:p>
      <w:pPr>
        <w:spacing w:after="0" w:line="240" w:lineRule="exact"/>
        <w:rPr>
          <w:sz w:val="22"/>
        </w:rPr>
        <w:sectPr>
          <w:pgSz w:w="11920" w:h="16850"/>
          <w:pgMar w:header="0" w:footer="803" w:top="960" w:bottom="1360" w:left="1000" w:right="740"/>
        </w:sect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5"/>
        <w:gridCol w:w="7369"/>
      </w:tblGrid>
      <w:tr>
        <w:trPr>
          <w:trHeight w:val="260" w:hRule="atLeast"/>
        </w:trPr>
        <w:tc>
          <w:tcPr>
            <w:tcW w:w="1435" w:type="dxa"/>
          </w:tcPr>
          <w:p>
            <w:pPr>
              <w:pStyle w:val="TableParagraph"/>
              <w:spacing w:line="221" w:lineRule="exact"/>
              <w:ind w:left="0" w:right="70"/>
              <w:jc w:val="right"/>
              <w:rPr>
                <w:b/>
                <w:sz w:val="22"/>
              </w:rPr>
            </w:pPr>
            <w:r>
              <w:rPr>
                <w:b/>
                <w:color w:val="585858"/>
                <w:sz w:val="22"/>
              </w:rPr>
              <w:t>OA</w:t>
            </w:r>
          </w:p>
        </w:tc>
        <w:tc>
          <w:tcPr>
            <w:tcW w:w="7369" w:type="dxa"/>
          </w:tcPr>
          <w:p>
            <w:pPr>
              <w:pStyle w:val="TableParagraph"/>
              <w:spacing w:line="221" w:lineRule="exact"/>
              <w:rPr>
                <w:sz w:val="22"/>
              </w:rPr>
            </w:pPr>
            <w:r>
              <w:rPr>
                <w:color w:val="585858"/>
                <w:sz w:val="22"/>
              </w:rPr>
              <w:t>Open Access</w:t>
            </w:r>
          </w:p>
        </w:tc>
      </w:tr>
      <w:tr>
        <w:trPr>
          <w:trHeight w:val="300" w:hRule="atLeast"/>
        </w:trPr>
        <w:tc>
          <w:tcPr>
            <w:tcW w:w="1435" w:type="dxa"/>
          </w:tcPr>
          <w:p>
            <w:pPr>
              <w:pStyle w:val="TableParagraph"/>
              <w:spacing w:line="260" w:lineRule="exact"/>
              <w:ind w:left="0" w:right="65"/>
              <w:jc w:val="right"/>
              <w:rPr>
                <w:b/>
                <w:sz w:val="22"/>
              </w:rPr>
            </w:pPr>
            <w:r>
              <w:rPr>
                <w:b/>
                <w:color w:val="585858"/>
                <w:sz w:val="22"/>
              </w:rPr>
              <w:t>PAUWES</w:t>
            </w:r>
          </w:p>
        </w:tc>
        <w:tc>
          <w:tcPr>
            <w:tcW w:w="7369" w:type="dxa"/>
          </w:tcPr>
          <w:p>
            <w:pPr>
              <w:pStyle w:val="TableParagraph"/>
              <w:spacing w:line="260" w:lineRule="exact"/>
              <w:rPr>
                <w:sz w:val="22"/>
              </w:rPr>
            </w:pPr>
            <w:r>
              <w:rPr>
                <w:color w:val="585858"/>
                <w:sz w:val="22"/>
              </w:rPr>
              <w:t>Pan-African University of Water and Energy Services</w:t>
            </w:r>
          </w:p>
        </w:tc>
      </w:tr>
      <w:tr>
        <w:trPr>
          <w:trHeight w:val="300" w:hRule="atLeast"/>
        </w:trPr>
        <w:tc>
          <w:tcPr>
            <w:tcW w:w="1435" w:type="dxa"/>
          </w:tcPr>
          <w:p>
            <w:pPr>
              <w:pStyle w:val="TableParagraph"/>
              <w:spacing w:line="260" w:lineRule="exact"/>
              <w:ind w:left="0" w:right="67"/>
              <w:jc w:val="right"/>
              <w:rPr>
                <w:b/>
                <w:sz w:val="22"/>
              </w:rPr>
            </w:pPr>
            <w:r>
              <w:rPr>
                <w:b/>
                <w:color w:val="585858"/>
                <w:sz w:val="22"/>
              </w:rPr>
              <w:t>PIMC</w:t>
            </w:r>
          </w:p>
        </w:tc>
        <w:tc>
          <w:tcPr>
            <w:tcW w:w="7369" w:type="dxa"/>
          </w:tcPr>
          <w:p>
            <w:pPr>
              <w:pStyle w:val="TableParagraph"/>
              <w:spacing w:line="260" w:lineRule="exact"/>
              <w:rPr>
                <w:sz w:val="22"/>
              </w:rPr>
            </w:pPr>
            <w:r>
              <w:rPr>
                <w:color w:val="585858"/>
                <w:sz w:val="22"/>
              </w:rPr>
              <w:t>Programme and Innovation Management Cycle</w:t>
            </w:r>
          </w:p>
        </w:tc>
      </w:tr>
      <w:tr>
        <w:trPr>
          <w:trHeight w:val="300" w:hRule="atLeast"/>
        </w:trPr>
        <w:tc>
          <w:tcPr>
            <w:tcW w:w="1435" w:type="dxa"/>
          </w:tcPr>
          <w:p>
            <w:pPr>
              <w:pStyle w:val="TableParagraph"/>
              <w:spacing w:line="260" w:lineRule="exact"/>
              <w:ind w:left="0" w:right="68"/>
              <w:jc w:val="right"/>
              <w:rPr>
                <w:b/>
                <w:sz w:val="22"/>
              </w:rPr>
            </w:pPr>
            <w:r>
              <w:rPr>
                <w:b/>
                <w:color w:val="585858"/>
                <w:sz w:val="22"/>
              </w:rPr>
              <w:t>POLIMI</w:t>
            </w:r>
          </w:p>
        </w:tc>
        <w:tc>
          <w:tcPr>
            <w:tcW w:w="7369" w:type="dxa"/>
          </w:tcPr>
          <w:p>
            <w:pPr>
              <w:pStyle w:val="TableParagraph"/>
              <w:spacing w:line="260" w:lineRule="exact"/>
              <w:rPr>
                <w:sz w:val="22"/>
              </w:rPr>
            </w:pPr>
            <w:r>
              <w:rPr>
                <w:color w:val="585858"/>
                <w:sz w:val="22"/>
              </w:rPr>
              <w:t>Politecnico di Milano, Italy</w:t>
            </w:r>
          </w:p>
        </w:tc>
      </w:tr>
      <w:tr>
        <w:trPr>
          <w:trHeight w:val="552" w:hRule="atLeast"/>
        </w:trPr>
        <w:tc>
          <w:tcPr>
            <w:tcW w:w="1435" w:type="dxa"/>
          </w:tcPr>
          <w:p>
            <w:pPr>
              <w:pStyle w:val="TableParagraph"/>
              <w:spacing w:line="260" w:lineRule="exact"/>
              <w:ind w:left="0" w:right="68"/>
              <w:jc w:val="right"/>
              <w:rPr>
                <w:b/>
                <w:sz w:val="22"/>
              </w:rPr>
            </w:pPr>
            <w:r>
              <w:rPr>
                <w:b/>
                <w:color w:val="585858"/>
                <w:sz w:val="22"/>
              </w:rPr>
              <w:t>PRE-LEAP-RE</w:t>
            </w:r>
          </w:p>
        </w:tc>
        <w:tc>
          <w:tcPr>
            <w:tcW w:w="7369" w:type="dxa"/>
          </w:tcPr>
          <w:p>
            <w:pPr>
              <w:pStyle w:val="TableParagraph"/>
              <w:spacing w:line="240" w:lineRule="auto"/>
              <w:ind w:right="184"/>
              <w:rPr>
                <w:sz w:val="22"/>
              </w:rPr>
            </w:pPr>
            <w:r>
              <w:rPr>
                <w:color w:val="585858"/>
                <w:sz w:val="22"/>
              </w:rPr>
              <w:t>PREparing for a Long-term Joint EU-AU Research and Innovation Partnership on Renewable Energy (CSA)</w:t>
            </w:r>
          </w:p>
        </w:tc>
      </w:tr>
      <w:tr>
        <w:trPr>
          <w:trHeight w:val="283" w:hRule="atLeast"/>
        </w:trPr>
        <w:tc>
          <w:tcPr>
            <w:tcW w:w="1435" w:type="dxa"/>
          </w:tcPr>
          <w:p>
            <w:pPr>
              <w:pStyle w:val="TableParagraph"/>
              <w:spacing w:line="243" w:lineRule="exact"/>
              <w:ind w:left="0" w:right="66"/>
              <w:jc w:val="right"/>
              <w:rPr>
                <w:b/>
                <w:sz w:val="22"/>
              </w:rPr>
            </w:pPr>
            <w:r>
              <w:rPr>
                <w:b/>
                <w:color w:val="585858"/>
                <w:sz w:val="22"/>
              </w:rPr>
              <w:t>RD&amp;D</w:t>
            </w:r>
          </w:p>
        </w:tc>
        <w:tc>
          <w:tcPr>
            <w:tcW w:w="7369" w:type="dxa"/>
          </w:tcPr>
          <w:p>
            <w:pPr>
              <w:pStyle w:val="TableParagraph"/>
              <w:spacing w:line="243" w:lineRule="exact"/>
              <w:rPr>
                <w:sz w:val="22"/>
              </w:rPr>
            </w:pPr>
            <w:r>
              <w:rPr>
                <w:color w:val="585858"/>
                <w:sz w:val="22"/>
              </w:rPr>
              <w:t>Research, Development and Demonstration</w:t>
            </w:r>
          </w:p>
        </w:tc>
      </w:tr>
      <w:tr>
        <w:trPr>
          <w:trHeight w:val="300" w:hRule="atLeast"/>
        </w:trPr>
        <w:tc>
          <w:tcPr>
            <w:tcW w:w="1435" w:type="dxa"/>
          </w:tcPr>
          <w:p>
            <w:pPr>
              <w:pStyle w:val="TableParagraph"/>
              <w:spacing w:line="260" w:lineRule="exact"/>
              <w:ind w:left="0" w:right="66"/>
              <w:jc w:val="right"/>
              <w:rPr>
                <w:b/>
                <w:sz w:val="22"/>
              </w:rPr>
            </w:pPr>
            <w:r>
              <w:rPr>
                <w:b/>
                <w:color w:val="585858"/>
                <w:sz w:val="22"/>
              </w:rPr>
              <w:t>RE</w:t>
            </w:r>
          </w:p>
        </w:tc>
        <w:tc>
          <w:tcPr>
            <w:tcW w:w="7369" w:type="dxa"/>
          </w:tcPr>
          <w:p>
            <w:pPr>
              <w:pStyle w:val="TableParagraph"/>
              <w:spacing w:line="260" w:lineRule="exact"/>
              <w:rPr>
                <w:sz w:val="22"/>
              </w:rPr>
            </w:pPr>
            <w:r>
              <w:rPr>
                <w:color w:val="585858"/>
                <w:sz w:val="22"/>
              </w:rPr>
              <w:t>Renweable Energy</w:t>
            </w:r>
          </w:p>
        </w:tc>
      </w:tr>
      <w:tr>
        <w:trPr>
          <w:trHeight w:val="300" w:hRule="atLeast"/>
        </w:trPr>
        <w:tc>
          <w:tcPr>
            <w:tcW w:w="1435" w:type="dxa"/>
          </w:tcPr>
          <w:p>
            <w:pPr>
              <w:pStyle w:val="TableParagraph"/>
              <w:spacing w:line="260" w:lineRule="exact"/>
              <w:ind w:left="0" w:right="67"/>
              <w:jc w:val="right"/>
              <w:rPr>
                <w:b/>
                <w:sz w:val="22"/>
              </w:rPr>
            </w:pPr>
            <w:r>
              <w:rPr>
                <w:b/>
                <w:color w:val="585858"/>
                <w:sz w:val="22"/>
              </w:rPr>
              <w:t>REA</w:t>
            </w:r>
          </w:p>
        </w:tc>
        <w:tc>
          <w:tcPr>
            <w:tcW w:w="7369" w:type="dxa"/>
          </w:tcPr>
          <w:p>
            <w:pPr>
              <w:pStyle w:val="TableParagraph"/>
              <w:spacing w:line="260" w:lineRule="exact"/>
              <w:rPr>
                <w:sz w:val="22"/>
              </w:rPr>
            </w:pPr>
            <w:r>
              <w:rPr>
                <w:color w:val="585858"/>
                <w:sz w:val="22"/>
              </w:rPr>
              <w:t>Research Executive Agency under the power delegated by the EC</w:t>
            </w:r>
          </w:p>
        </w:tc>
      </w:tr>
      <w:tr>
        <w:trPr>
          <w:trHeight w:val="300" w:hRule="atLeast"/>
        </w:trPr>
        <w:tc>
          <w:tcPr>
            <w:tcW w:w="1435" w:type="dxa"/>
          </w:tcPr>
          <w:p>
            <w:pPr>
              <w:pStyle w:val="TableParagraph"/>
              <w:spacing w:line="260" w:lineRule="exact"/>
              <w:ind w:left="0" w:right="68"/>
              <w:jc w:val="right"/>
              <w:rPr>
                <w:b/>
                <w:sz w:val="22"/>
              </w:rPr>
            </w:pPr>
            <w:r>
              <w:rPr>
                <w:b/>
                <w:color w:val="585858"/>
                <w:sz w:val="22"/>
              </w:rPr>
              <w:t>RES</w:t>
            </w:r>
          </w:p>
        </w:tc>
        <w:tc>
          <w:tcPr>
            <w:tcW w:w="7369" w:type="dxa"/>
          </w:tcPr>
          <w:p>
            <w:pPr>
              <w:pStyle w:val="TableParagraph"/>
              <w:spacing w:line="260" w:lineRule="exact"/>
              <w:rPr>
                <w:sz w:val="22"/>
              </w:rPr>
            </w:pPr>
            <w:r>
              <w:rPr>
                <w:color w:val="585858"/>
                <w:sz w:val="22"/>
              </w:rPr>
              <w:t>Renewable Energy Sources</w:t>
            </w:r>
          </w:p>
        </w:tc>
      </w:tr>
      <w:tr>
        <w:trPr>
          <w:trHeight w:val="300" w:hRule="atLeast"/>
        </w:trPr>
        <w:tc>
          <w:tcPr>
            <w:tcW w:w="1435" w:type="dxa"/>
          </w:tcPr>
          <w:p>
            <w:pPr>
              <w:pStyle w:val="TableParagraph"/>
              <w:spacing w:line="260" w:lineRule="exact"/>
              <w:ind w:left="0" w:right="71"/>
              <w:jc w:val="right"/>
              <w:rPr>
                <w:b/>
                <w:sz w:val="22"/>
              </w:rPr>
            </w:pPr>
            <w:r>
              <w:rPr>
                <w:b/>
                <w:color w:val="585858"/>
                <w:sz w:val="22"/>
              </w:rPr>
              <w:t>SG</w:t>
            </w:r>
          </w:p>
        </w:tc>
        <w:tc>
          <w:tcPr>
            <w:tcW w:w="7369" w:type="dxa"/>
          </w:tcPr>
          <w:p>
            <w:pPr>
              <w:pStyle w:val="TableParagraph"/>
              <w:spacing w:line="260" w:lineRule="exact"/>
              <w:rPr>
                <w:sz w:val="22"/>
              </w:rPr>
            </w:pPr>
            <w:r>
              <w:rPr>
                <w:color w:val="585858"/>
                <w:sz w:val="22"/>
              </w:rPr>
              <w:t>Stakeholder Group</w:t>
            </w:r>
          </w:p>
        </w:tc>
      </w:tr>
      <w:tr>
        <w:trPr>
          <w:trHeight w:val="300" w:hRule="atLeast"/>
        </w:trPr>
        <w:tc>
          <w:tcPr>
            <w:tcW w:w="1435" w:type="dxa"/>
          </w:tcPr>
          <w:p>
            <w:pPr>
              <w:pStyle w:val="TableParagraph"/>
              <w:spacing w:line="260" w:lineRule="exact"/>
              <w:ind w:left="0" w:right="67"/>
              <w:jc w:val="right"/>
              <w:rPr>
                <w:b/>
                <w:sz w:val="22"/>
              </w:rPr>
            </w:pPr>
            <w:r>
              <w:rPr>
                <w:b/>
                <w:color w:val="585858"/>
                <w:sz w:val="22"/>
              </w:rPr>
              <w:t>SOM</w:t>
            </w:r>
          </w:p>
        </w:tc>
        <w:tc>
          <w:tcPr>
            <w:tcW w:w="7369" w:type="dxa"/>
          </w:tcPr>
          <w:p>
            <w:pPr>
              <w:pStyle w:val="TableParagraph"/>
              <w:spacing w:line="260" w:lineRule="exact"/>
              <w:rPr>
                <w:sz w:val="22"/>
              </w:rPr>
            </w:pPr>
            <w:r>
              <w:rPr>
                <w:color w:val="585858"/>
                <w:sz w:val="22"/>
              </w:rPr>
              <w:t>Senior Official Meeting</w:t>
            </w:r>
          </w:p>
        </w:tc>
      </w:tr>
      <w:tr>
        <w:trPr>
          <w:trHeight w:val="300" w:hRule="atLeast"/>
        </w:trPr>
        <w:tc>
          <w:tcPr>
            <w:tcW w:w="1435" w:type="dxa"/>
          </w:tcPr>
          <w:p>
            <w:pPr>
              <w:pStyle w:val="TableParagraph"/>
              <w:spacing w:line="261" w:lineRule="exact"/>
              <w:ind w:left="0" w:right="70"/>
              <w:jc w:val="right"/>
              <w:rPr>
                <w:b/>
                <w:sz w:val="22"/>
              </w:rPr>
            </w:pPr>
            <w:r>
              <w:rPr>
                <w:b/>
                <w:color w:val="585858"/>
                <w:sz w:val="22"/>
              </w:rPr>
              <w:t>SU</w:t>
            </w:r>
          </w:p>
        </w:tc>
        <w:tc>
          <w:tcPr>
            <w:tcW w:w="7369" w:type="dxa"/>
          </w:tcPr>
          <w:p>
            <w:pPr>
              <w:pStyle w:val="TableParagraph"/>
              <w:spacing w:line="261" w:lineRule="exact"/>
              <w:rPr>
                <w:sz w:val="22"/>
              </w:rPr>
            </w:pPr>
            <w:r>
              <w:rPr>
                <w:color w:val="585858"/>
                <w:sz w:val="22"/>
              </w:rPr>
              <w:t>Strathmore University, Kenya</w:t>
            </w:r>
          </w:p>
        </w:tc>
      </w:tr>
      <w:tr>
        <w:trPr>
          <w:trHeight w:val="260" w:hRule="atLeast"/>
        </w:trPr>
        <w:tc>
          <w:tcPr>
            <w:tcW w:w="1435" w:type="dxa"/>
          </w:tcPr>
          <w:p>
            <w:pPr>
              <w:pStyle w:val="TableParagraph"/>
              <w:spacing w:line="240" w:lineRule="exact"/>
              <w:ind w:left="0" w:right="67"/>
              <w:jc w:val="right"/>
              <w:rPr>
                <w:b/>
                <w:sz w:val="22"/>
              </w:rPr>
            </w:pPr>
            <w:r>
              <w:rPr>
                <w:b/>
                <w:color w:val="585858"/>
                <w:sz w:val="22"/>
              </w:rPr>
              <w:t>WASCAL</w:t>
            </w:r>
          </w:p>
        </w:tc>
        <w:tc>
          <w:tcPr>
            <w:tcW w:w="7369" w:type="dxa"/>
          </w:tcPr>
          <w:p>
            <w:pPr>
              <w:pStyle w:val="TableParagraph"/>
              <w:spacing w:line="240" w:lineRule="exact"/>
              <w:rPr>
                <w:sz w:val="22"/>
              </w:rPr>
            </w:pPr>
            <w:r>
              <w:rPr>
                <w:color w:val="585858"/>
                <w:sz w:val="22"/>
              </w:rPr>
              <w:t>West African Science Service Center on Climate Change and Adapted Land Use</w:t>
            </w:r>
          </w:p>
        </w:tc>
      </w:tr>
    </w:tbl>
    <w:p>
      <w:pPr>
        <w:rPr>
          <w:sz w:val="2"/>
          <w:szCs w:val="2"/>
        </w:rPr>
      </w:pPr>
      <w:r>
        <w:rPr/>
        <w:pict>
          <v:group style="position:absolute;margin-left:99.529121pt;margin-top:181.579971pt;width:417.35pt;height:452.95pt;mso-position-horizontal-relative:page;mso-position-vertical-relative:page;z-index:-33448" coordorigin="1991,3632" coordsize="8347,9059">
            <v:shape style="position:absolute;left:1990;top:3792;width:8347;height:8898" type="#_x0000_t75" stroked="false">
              <v:imagedata r:id="rId18" o:title=""/>
            </v:shape>
            <v:shape style="position:absolute;left:2551;top:3631;width:7517;height:1501" coordorigin="2552,3632" coordsize="7517,1501" path="m10068,4532l9998,4532,2621,4532,2552,4532,2552,4832,2552,5132,10068,5132,10068,4832,10068,4532m10068,3632l9998,3632,2621,3632,2552,3632,2552,3932,2552,4232,2552,4532,10068,4532,10068,4232,10068,3932,10068,3632e" filled="true" fillcolor="#ffffff" stroked="false">
              <v:path arrowok="t"/>
              <v:fill type="solid"/>
            </v:shape>
            <w10:wrap type="none"/>
          </v:group>
        </w:pict>
      </w:r>
    </w:p>
    <w:p>
      <w:pPr>
        <w:spacing w:after="0"/>
        <w:rPr>
          <w:sz w:val="2"/>
          <w:szCs w:val="2"/>
        </w:rPr>
        <w:sectPr>
          <w:pgSz w:w="11920" w:h="16850"/>
          <w:pgMar w:header="0" w:footer="803" w:top="1040" w:bottom="1000" w:left="1000" w:right="740"/>
        </w:sectPr>
      </w:pPr>
    </w:p>
    <w:p>
      <w:pPr>
        <w:pStyle w:val="BodyText"/>
        <w:rPr>
          <w:b/>
          <w:sz w:val="20"/>
        </w:rPr>
      </w:pPr>
      <w:r>
        <w:rPr/>
        <w:pict>
          <v:rect style="position:absolute;margin-left:0pt;margin-top:.000015pt;width:595.276pt;height:841.89pt;mso-position-horizontal-relative:page;mso-position-vertical-relative:page;z-index:-33424" filled="true" fillcolor="#3fc3db" stroked="false">
            <v:fill opacity="47841f" type="solid"/>
            <w10:wrap type="none"/>
          </v:rect>
        </w:pict>
      </w:r>
      <w:r>
        <w:rPr/>
        <w:pict>
          <v:group style="position:absolute;margin-left:14.5281pt;margin-top:48.880116pt;width:567.450pt;height:739.45pt;mso-position-horizontal-relative:page;mso-position-vertical-relative:page;z-index:-33400" coordorigin="291,978" coordsize="11349,14789">
            <v:shape style="position:absolute;left:290;top:977;width:11288;height:14789" coordorigin="291,978" coordsize="11288,14789" path="m11578,978l7338,978,6154,3383,291,3383,291,15766,11578,15766,11578,978xe" filled="true" fillcolor="#ffffff" stroked="false">
              <v:path arrowok="t"/>
              <v:fill type="solid"/>
            </v:shape>
            <v:shape style="position:absolute;left:6215;top:977;width:5425;height:5063" coordorigin="6215,978" coordsize="5425,5063" path="m11639,978l10739,978,7400,978,6215,3295,8402,2175,11639,6041,11639,978e" filled="true" fillcolor="#cdcdcc" stroked="false">
              <v:path arrowok="t"/>
              <v:fill opacity="9830f" type="solid"/>
            </v:shape>
            <v:line style="position:absolute" from="1093,11493" to="5353,11493" stroked="true" strokeweight="0pt" strokecolor="#14a249">
              <v:stroke dashstyle="solid"/>
            </v:line>
            <v:shape style="position:absolute;left:804;top:7665;width:10257;height:3111" type="#_x0000_t75" stroked="false">
              <v:imagedata r:id="rId35"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59"/>
        <w:ind w:left="822" w:right="0" w:firstLine="0"/>
        <w:jc w:val="left"/>
        <w:rPr>
          <w:rFonts w:ascii="Myriad Pro Light"/>
          <w:b/>
          <w:sz w:val="38"/>
        </w:rPr>
      </w:pPr>
      <w:bookmarkStart w:name="BG Paper 1 - BACK.pdf" w:id="14"/>
      <w:bookmarkEnd w:id="14"/>
      <w:r>
        <w:rPr/>
      </w:r>
      <w:r>
        <w:rPr>
          <w:rFonts w:ascii="Myriad Pro Light"/>
          <w:b/>
          <w:color w:val="414042"/>
          <w:sz w:val="38"/>
        </w:rPr>
        <w:t>PROJECT PARTNERS</w:t>
      </w: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rPr>
          <w:rFonts w:ascii="Myriad Pro Light"/>
          <w:b/>
          <w:sz w:val="20"/>
        </w:rPr>
      </w:pPr>
    </w:p>
    <w:p>
      <w:pPr>
        <w:pStyle w:val="BodyText"/>
        <w:spacing w:before="6"/>
        <w:rPr>
          <w:rFonts w:ascii="Myriad Pro Light"/>
          <w:b/>
          <w:sz w:val="25"/>
        </w:rPr>
      </w:pPr>
    </w:p>
    <w:p>
      <w:pPr>
        <w:pStyle w:val="Heading2"/>
        <w:spacing w:line="225" w:lineRule="auto" w:before="117"/>
        <w:ind w:left="1230" w:right="113"/>
        <w:jc w:val="left"/>
      </w:pPr>
      <w:r>
        <w:rPr/>
        <w:drawing>
          <wp:anchor distT="0" distB="0" distL="0" distR="0" allowOverlap="1" layoutInCell="1" locked="0" behindDoc="1" simplePos="0" relativeHeight="268402079">
            <wp:simplePos x="0" y="0"/>
            <wp:positionH relativeFrom="page">
              <wp:posOffset>209912</wp:posOffset>
            </wp:positionH>
            <wp:positionV relativeFrom="paragraph">
              <wp:posOffset>84067</wp:posOffset>
            </wp:positionV>
            <wp:extent cx="540761" cy="350493"/>
            <wp:effectExtent l="0" t="0" r="0" b="0"/>
            <wp:wrapNone/>
            <wp:docPr id="25" name="image27.png" descr=""/>
            <wp:cNvGraphicFramePr>
              <a:graphicFrameLocks noChangeAspect="1"/>
            </wp:cNvGraphicFramePr>
            <a:graphic>
              <a:graphicData uri="http://schemas.openxmlformats.org/drawingml/2006/picture">
                <pic:pic>
                  <pic:nvPicPr>
                    <pic:cNvPr id="26" name="image27.png"/>
                    <pic:cNvPicPr/>
                  </pic:nvPicPr>
                  <pic:blipFill>
                    <a:blip r:embed="rId36" cstate="print"/>
                    <a:stretch>
                      <a:fillRect/>
                    </a:stretch>
                  </pic:blipFill>
                  <pic:spPr>
                    <a:xfrm>
                      <a:off x="0" y="0"/>
                      <a:ext cx="540761" cy="350493"/>
                    </a:xfrm>
                    <a:prstGeom prst="rect">
                      <a:avLst/>
                    </a:prstGeom>
                  </pic:spPr>
                </pic:pic>
              </a:graphicData>
            </a:graphic>
          </wp:anchor>
        </w:drawing>
      </w:r>
      <w:r>
        <w:rPr>
          <w:color w:val="FFFFFF"/>
        </w:rPr>
        <w:t>The</w:t>
      </w:r>
      <w:r>
        <w:rPr>
          <w:color w:val="FFFFFF"/>
          <w:spacing w:val="-14"/>
        </w:rPr>
        <w:t> </w:t>
      </w:r>
      <w:r>
        <w:rPr>
          <w:color w:val="FFFFFF"/>
        </w:rPr>
        <w:t>PRE-LEAP-RE</w:t>
      </w:r>
      <w:r>
        <w:rPr>
          <w:color w:val="FFFFFF"/>
          <w:spacing w:val="-13"/>
        </w:rPr>
        <w:t> </w:t>
      </w:r>
      <w:r>
        <w:rPr>
          <w:color w:val="FFFFFF"/>
        </w:rPr>
        <w:t>project</w:t>
      </w:r>
      <w:r>
        <w:rPr>
          <w:color w:val="FFFFFF"/>
          <w:spacing w:val="-13"/>
        </w:rPr>
        <w:t> </w:t>
      </w:r>
      <w:r>
        <w:rPr>
          <w:color w:val="FFFFFF"/>
        </w:rPr>
        <w:t>has</w:t>
      </w:r>
      <w:r>
        <w:rPr>
          <w:color w:val="FFFFFF"/>
          <w:spacing w:val="-13"/>
        </w:rPr>
        <w:t> </w:t>
      </w:r>
      <w:r>
        <w:rPr>
          <w:color w:val="FFFFFF"/>
        </w:rPr>
        <w:t>received</w:t>
      </w:r>
      <w:r>
        <w:rPr>
          <w:color w:val="FFFFFF"/>
          <w:spacing w:val="-13"/>
        </w:rPr>
        <w:t> </w:t>
      </w:r>
      <w:r>
        <w:rPr>
          <w:color w:val="FFFFFF"/>
        </w:rPr>
        <w:t>funding</w:t>
      </w:r>
      <w:r>
        <w:rPr>
          <w:color w:val="FFFFFF"/>
          <w:spacing w:val="-13"/>
        </w:rPr>
        <w:t> </w:t>
      </w:r>
      <w:r>
        <w:rPr>
          <w:color w:val="FFFFFF"/>
        </w:rPr>
        <w:t>from</w:t>
      </w:r>
      <w:r>
        <w:rPr>
          <w:color w:val="FFFFFF"/>
          <w:spacing w:val="-13"/>
        </w:rPr>
        <w:t> </w:t>
      </w:r>
      <w:r>
        <w:rPr>
          <w:color w:val="FFFFFF"/>
        </w:rPr>
        <w:t>the</w:t>
      </w:r>
      <w:r>
        <w:rPr>
          <w:color w:val="FFFFFF"/>
          <w:spacing w:val="-13"/>
        </w:rPr>
        <w:t> </w:t>
      </w:r>
      <w:r>
        <w:rPr>
          <w:color w:val="FFFFFF"/>
        </w:rPr>
        <w:t>European</w:t>
      </w:r>
      <w:r>
        <w:rPr>
          <w:color w:val="FFFFFF"/>
          <w:spacing w:val="-13"/>
        </w:rPr>
        <w:t> </w:t>
      </w:r>
      <w:r>
        <w:rPr>
          <w:color w:val="FFFFFF"/>
          <w:spacing w:val="-4"/>
        </w:rPr>
        <w:t>Union’s</w:t>
      </w:r>
      <w:r>
        <w:rPr>
          <w:color w:val="FFFFFF"/>
          <w:spacing w:val="-13"/>
        </w:rPr>
        <w:t> </w:t>
      </w:r>
      <w:r>
        <w:rPr>
          <w:color w:val="FFFFFF"/>
        </w:rPr>
        <w:t>Horizon</w:t>
      </w:r>
      <w:r>
        <w:rPr>
          <w:color w:val="FFFFFF"/>
          <w:spacing w:val="-13"/>
        </w:rPr>
        <w:t> </w:t>
      </w:r>
      <w:r>
        <w:rPr>
          <w:color w:val="FFFFFF"/>
        </w:rPr>
        <w:t>2020</w:t>
      </w:r>
      <w:r>
        <w:rPr>
          <w:color w:val="FFFFFF"/>
          <w:spacing w:val="-13"/>
        </w:rPr>
        <w:t> </w:t>
      </w:r>
      <w:r>
        <w:rPr>
          <w:color w:val="FFFFFF"/>
        </w:rPr>
        <w:t>Research</w:t>
      </w:r>
      <w:r>
        <w:rPr>
          <w:color w:val="FFFFFF"/>
          <w:spacing w:val="-13"/>
        </w:rPr>
        <w:t> </w:t>
      </w:r>
      <w:r>
        <w:rPr>
          <w:color w:val="FFFFFF"/>
        </w:rPr>
        <w:t>and Innovation Program under Grant Agreement</w:t>
      </w:r>
      <w:r>
        <w:rPr>
          <w:color w:val="FFFFFF"/>
          <w:spacing w:val="-35"/>
        </w:rPr>
        <w:t> </w:t>
      </w:r>
      <w:r>
        <w:rPr>
          <w:color w:val="FFFFFF"/>
        </w:rPr>
        <w:t>815264.</w:t>
      </w:r>
    </w:p>
    <w:p>
      <w:pPr>
        <w:spacing w:after="0" w:line="225" w:lineRule="auto"/>
        <w:jc w:val="left"/>
        <w:sectPr>
          <w:footerReference w:type="default" r:id="rId34"/>
          <w:pgSz w:w="11910" w:h="16840"/>
          <w:pgMar w:footer="0" w:header="0" w:top="1580" w:bottom="0" w:left="220" w:right="200"/>
        </w:sectPr>
      </w:pPr>
    </w:p>
    <w:p>
      <w:pPr>
        <w:pStyle w:val="BodyText"/>
        <w:rPr>
          <w:sz w:val="20"/>
        </w:rPr>
      </w:pPr>
      <w:r>
        <w:rPr/>
        <w:pict>
          <v:rect style="position:absolute;margin-left:0pt;margin-top:.000015pt;width:595.275pt;height:841.89pt;mso-position-horizontal-relative:page;mso-position-vertical-relative:page;z-index:-33328" filled="true" fillcolor="#009a49"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9"/>
        </w:rPr>
      </w:pPr>
    </w:p>
    <w:p>
      <w:pPr>
        <w:pStyle w:val="BodyText"/>
        <w:spacing w:line="20" w:lineRule="exact"/>
        <w:ind w:left="152"/>
        <w:rPr>
          <w:sz w:val="2"/>
        </w:rPr>
      </w:pPr>
      <w:r>
        <w:rPr>
          <w:sz w:val="2"/>
        </w:rPr>
        <w:pict>
          <v:group style="width:213pt;height:.1pt;mso-position-horizontal-relative:char;mso-position-vertical-relative:line" coordorigin="0,0" coordsize="4260,2">
            <v:line style="position:absolute" from="0,0" to="4260,0" stroked="true" strokeweight="0pt" strokecolor="#14a249">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before="101"/>
        <w:ind w:left="4028" w:right="4079" w:firstLine="0"/>
        <w:jc w:val="center"/>
        <w:rPr>
          <w:rFonts w:ascii="Myriad Pro Light" w:hAnsi="Myriad Pro Light"/>
          <w:b/>
          <w:sz w:val="38"/>
        </w:rPr>
      </w:pPr>
      <w:r>
        <w:rPr>
          <w:rFonts w:ascii="Myriad Pro Light" w:hAnsi="Myriad Pro Light"/>
          <w:b/>
          <w:color w:val="FFFFFF"/>
          <w:sz w:val="38"/>
        </w:rPr>
        <w:t>PRE-LEAP-RE © 2019</w:t>
      </w:r>
    </w:p>
    <w:sectPr>
      <w:footerReference w:type="default" r:id="rId37"/>
      <w:pgSz w:w="11910" w:h="16840"/>
      <w:pgMar w:footer="0" w:header="0" w:top="1580" w:bottom="0" w:left="22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yriad Pro">
    <w:altName w:val="Myriad Pro"/>
    <w:charset w:val="0"/>
    <w:family w:val="swiss"/>
    <w:pitch w:val="variable"/>
  </w:font>
  <w:font w:name="Calibri">
    <w:altName w:val="Calibri"/>
    <w:charset w:val="0"/>
    <w:family w:val="swiss"/>
    <w:pitch w:val="variable"/>
  </w:font>
  <w:font w:name="Myriad Pro Light">
    <w:altName w:val="Myriad Pro Light"/>
    <w:charset w:val="0"/>
    <w:family w:val="swiss"/>
    <w:pitch w:val="variable"/>
  </w:font>
  <w:font w:name="Courier New">
    <w:altName w:val="Courier New"/>
    <w:charset w:val="0"/>
    <w:family w:val="modern"/>
    <w:pitch w:val="fixed"/>
  </w:font>
  <w:font w:name="Wingdings 3">
    <w:altName w:val="Wingdings 3"/>
    <w:charset w:val="2"/>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1383">
          <wp:simplePos x="0" y="0"/>
          <wp:positionH relativeFrom="page">
            <wp:posOffset>2996183</wp:posOffset>
          </wp:positionH>
          <wp:positionV relativeFrom="page">
            <wp:posOffset>9985247</wp:posOffset>
          </wp:positionV>
          <wp:extent cx="2510027" cy="324612"/>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1" cstate="print"/>
                  <a:stretch>
                    <a:fillRect/>
                  </a:stretch>
                </pic:blipFill>
                <pic:spPr>
                  <a:xfrm>
                    <a:off x="0" y="0"/>
                    <a:ext cx="2510027" cy="324612"/>
                  </a:xfrm>
                  <a:prstGeom prst="rect">
                    <a:avLst/>
                  </a:prstGeom>
                </pic:spPr>
              </pic:pic>
            </a:graphicData>
          </a:graphic>
        </wp:anchor>
      </w:drawing>
    </w:r>
    <w:r>
      <w:rPr/>
      <w:drawing>
        <wp:anchor distT="0" distB="0" distL="0" distR="0" allowOverlap="1" layoutInCell="1" locked="0" behindDoc="1" simplePos="0" relativeHeight="268401407">
          <wp:simplePos x="0" y="0"/>
          <wp:positionH relativeFrom="page">
            <wp:posOffset>714375</wp:posOffset>
          </wp:positionH>
          <wp:positionV relativeFrom="page">
            <wp:posOffset>9829621</wp:posOffset>
          </wp:positionV>
          <wp:extent cx="2182495" cy="448411"/>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2" cstate="print"/>
                  <a:stretch>
                    <a:fillRect/>
                  </a:stretch>
                </pic:blipFill>
                <pic:spPr>
                  <a:xfrm>
                    <a:off x="0" y="0"/>
                    <a:ext cx="2182495" cy="448411"/>
                  </a:xfrm>
                  <a:prstGeom prst="rect">
                    <a:avLst/>
                  </a:prstGeom>
                </pic:spPr>
              </pic:pic>
            </a:graphicData>
          </a:graphic>
        </wp:anchor>
      </w:drawing>
    </w:r>
    <w:r>
      <w:rPr/>
      <w:pict>
        <v:shape style="position:absolute;margin-left:242.169998pt;margin-top:786.889954pt;width:91.5pt;height:19.8pt;mso-position-horizontal-relative:page;mso-position-vertical-relative:page;z-index:-34024" type="#_x0000_t202" filled="false" stroked="false">
          <v:textbox inset="0,0,0,0">
            <w:txbxContent>
              <w:p>
                <w:pPr>
                  <w:spacing w:line="183" w:lineRule="exact" w:before="0"/>
                  <w:ind w:left="20" w:right="0" w:firstLine="0"/>
                  <w:jc w:val="left"/>
                  <w:rPr>
                    <w:b/>
                    <w:sz w:val="16"/>
                  </w:rPr>
                </w:pPr>
                <w:r>
                  <w:rPr>
                    <w:b/>
                    <w:color w:val="585858"/>
                    <w:sz w:val="16"/>
                  </w:rPr>
                  <w:t>Draft #3 Background Paper</w:t>
                </w:r>
              </w:p>
              <w:p>
                <w:pPr>
                  <w:spacing w:line="195" w:lineRule="exact" w:before="0"/>
                  <w:ind w:left="20" w:right="0" w:firstLine="0"/>
                  <w:jc w:val="left"/>
                  <w:rPr>
                    <w:b/>
                    <w:sz w:val="16"/>
                  </w:rPr>
                </w:pPr>
                <w:r>
                  <w:rPr>
                    <w:b/>
                    <w:color w:val="00991D"/>
                    <w:sz w:val="16"/>
                  </w:rPr>
                  <w:t>Long-Term Perspective</w:t>
                </w:r>
              </w:p>
            </w:txbxContent>
          </v:textbox>
          <w10:wrap type="none"/>
        </v:shape>
      </w:pict>
    </w:r>
    <w:r>
      <w:rPr/>
      <w:pict>
        <v:shape style="position:absolute;margin-left:519.76001pt;margin-top:792.079956pt;width:34.35pt;height:14pt;mso-position-horizontal-relative:page;mso-position-vertical-relative:page;z-index:-34000" type="#_x0000_t202" filled="false" stroked="false">
          <v:textbox inset="0,0,0,0">
            <w:txbxContent>
              <w:p>
                <w:pPr>
                  <w:spacing w:line="264" w:lineRule="exact" w:before="0"/>
                  <w:ind w:left="40" w:right="0" w:firstLine="0"/>
                  <w:jc w:val="left"/>
                  <w:rPr>
                    <w:sz w:val="16"/>
                  </w:rPr>
                </w:pPr>
                <w:r>
                  <w:rPr/>
                  <w:fldChar w:fldCharType="begin"/>
                </w:r>
                <w:r>
                  <w:rPr>
                    <w:b/>
                    <w:color w:val="585858"/>
                    <w:sz w:val="24"/>
                  </w:rPr>
                  <w:instrText> PAGE </w:instrText>
                </w:r>
                <w:r>
                  <w:rPr/>
                  <w:fldChar w:fldCharType="separate"/>
                </w:r>
                <w:r>
                  <w:rPr/>
                  <w:t>21</w:t>
                </w:r>
                <w:r>
                  <w:rPr/>
                  <w:fldChar w:fldCharType="end"/>
                </w:r>
                <w:r>
                  <w:rPr>
                    <w:b/>
                    <w:color w:val="585858"/>
                    <w:sz w:val="24"/>
                  </w:rPr>
                  <w:t> </w:t>
                </w:r>
                <w:r>
                  <w:rPr>
                    <w:color w:val="585858"/>
                    <w:sz w:val="16"/>
                  </w:rPr>
                  <w:t>of 21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33976" filled="true" fillcolor="#3fc3db" stroked="false">
          <v:fill opacity="47841f" type="solid"/>
          <w10:wrap type="non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33952" filled="true" fillcolor="#009a49" stroked="false">
          <v:fill type="solid"/>
          <w10:wrap type="none"/>
        </v:rect>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1213" w:hanging="360"/>
      </w:pPr>
      <w:rPr>
        <w:rFonts w:hint="default" w:ascii="Symbol" w:hAnsi="Symbol" w:eastAsia="Symbol" w:cs="Symbol"/>
        <w:color w:val="585858"/>
        <w:w w:val="100"/>
        <w:sz w:val="22"/>
        <w:szCs w:val="22"/>
      </w:rPr>
    </w:lvl>
    <w:lvl w:ilvl="1">
      <w:start w:val="0"/>
      <w:numFmt w:val="bullet"/>
      <w:lvlText w:val="o"/>
      <w:lvlJc w:val="left"/>
      <w:pPr>
        <w:ind w:left="1573" w:hanging="360"/>
      </w:pPr>
      <w:rPr>
        <w:rFonts w:hint="default" w:ascii="Courier New" w:hAnsi="Courier New" w:eastAsia="Courier New" w:cs="Courier New"/>
        <w:color w:val="585858"/>
        <w:w w:val="100"/>
        <w:sz w:val="22"/>
        <w:szCs w:val="22"/>
      </w:rPr>
    </w:lvl>
    <w:lvl w:ilvl="2">
      <w:start w:val="0"/>
      <w:numFmt w:val="bullet"/>
      <w:lvlText w:val="•"/>
      <w:lvlJc w:val="left"/>
      <w:pPr>
        <w:ind w:left="2534" w:hanging="360"/>
      </w:pPr>
      <w:rPr>
        <w:rFonts w:hint="default"/>
      </w:rPr>
    </w:lvl>
    <w:lvl w:ilvl="3">
      <w:start w:val="0"/>
      <w:numFmt w:val="bullet"/>
      <w:lvlText w:val="•"/>
      <w:lvlJc w:val="left"/>
      <w:pPr>
        <w:ind w:left="3489" w:hanging="360"/>
      </w:pPr>
      <w:rPr>
        <w:rFonts w:hint="default"/>
      </w:rPr>
    </w:lvl>
    <w:lvl w:ilvl="4">
      <w:start w:val="0"/>
      <w:numFmt w:val="bullet"/>
      <w:lvlText w:val="•"/>
      <w:lvlJc w:val="left"/>
      <w:pPr>
        <w:ind w:left="4443" w:hanging="360"/>
      </w:pPr>
      <w:rPr>
        <w:rFonts w:hint="default"/>
      </w:rPr>
    </w:lvl>
    <w:lvl w:ilvl="5">
      <w:start w:val="0"/>
      <w:numFmt w:val="bullet"/>
      <w:lvlText w:val="•"/>
      <w:lvlJc w:val="left"/>
      <w:pPr>
        <w:ind w:left="5398" w:hanging="360"/>
      </w:pPr>
      <w:rPr>
        <w:rFonts w:hint="default"/>
      </w:rPr>
    </w:lvl>
    <w:lvl w:ilvl="6">
      <w:start w:val="0"/>
      <w:numFmt w:val="bullet"/>
      <w:lvlText w:val="•"/>
      <w:lvlJc w:val="left"/>
      <w:pPr>
        <w:ind w:left="6352" w:hanging="360"/>
      </w:pPr>
      <w:rPr>
        <w:rFonts w:hint="default"/>
      </w:rPr>
    </w:lvl>
    <w:lvl w:ilvl="7">
      <w:start w:val="0"/>
      <w:numFmt w:val="bullet"/>
      <w:lvlText w:val="•"/>
      <w:lvlJc w:val="left"/>
      <w:pPr>
        <w:ind w:left="7307" w:hanging="360"/>
      </w:pPr>
      <w:rPr>
        <w:rFonts w:hint="default"/>
      </w:rPr>
    </w:lvl>
    <w:lvl w:ilvl="8">
      <w:start w:val="0"/>
      <w:numFmt w:val="bullet"/>
      <w:lvlText w:val="•"/>
      <w:lvlJc w:val="left"/>
      <w:pPr>
        <w:ind w:left="8262" w:hanging="360"/>
      </w:pPr>
      <w:rPr>
        <w:rFonts w:hint="default"/>
      </w:rPr>
    </w:lvl>
  </w:abstractNum>
  <w:abstractNum w:abstractNumId="9">
    <w:multiLevelType w:val="hybridMultilevel"/>
    <w:lvl w:ilvl="0">
      <w:start w:val="1"/>
      <w:numFmt w:val="lowerLetter"/>
      <w:lvlText w:val="%1."/>
      <w:lvlJc w:val="left"/>
      <w:pPr>
        <w:ind w:left="1266" w:hanging="281"/>
        <w:jc w:val="left"/>
      </w:pPr>
      <w:rPr>
        <w:rFonts w:hint="default" w:ascii="Calibri" w:hAnsi="Calibri" w:eastAsia="Calibri" w:cs="Calibri"/>
        <w:color w:val="27A1B7"/>
        <w:spacing w:val="-1"/>
        <w:w w:val="100"/>
        <w:sz w:val="22"/>
        <w:szCs w:val="22"/>
      </w:rPr>
    </w:lvl>
    <w:lvl w:ilvl="1">
      <w:start w:val="0"/>
      <w:numFmt w:val="bullet"/>
      <w:lvlText w:val="•"/>
      <w:lvlJc w:val="left"/>
      <w:pPr>
        <w:ind w:left="2151" w:hanging="281"/>
      </w:pPr>
      <w:rPr>
        <w:rFonts w:hint="default"/>
      </w:rPr>
    </w:lvl>
    <w:lvl w:ilvl="2">
      <w:start w:val="0"/>
      <w:numFmt w:val="bullet"/>
      <w:lvlText w:val="•"/>
      <w:lvlJc w:val="left"/>
      <w:pPr>
        <w:ind w:left="3042" w:hanging="281"/>
      </w:pPr>
      <w:rPr>
        <w:rFonts w:hint="default"/>
      </w:rPr>
    </w:lvl>
    <w:lvl w:ilvl="3">
      <w:start w:val="0"/>
      <w:numFmt w:val="bullet"/>
      <w:lvlText w:val="•"/>
      <w:lvlJc w:val="left"/>
      <w:pPr>
        <w:ind w:left="3933" w:hanging="281"/>
      </w:pPr>
      <w:rPr>
        <w:rFonts w:hint="default"/>
      </w:rPr>
    </w:lvl>
    <w:lvl w:ilvl="4">
      <w:start w:val="0"/>
      <w:numFmt w:val="bullet"/>
      <w:lvlText w:val="•"/>
      <w:lvlJc w:val="left"/>
      <w:pPr>
        <w:ind w:left="4824" w:hanging="281"/>
      </w:pPr>
      <w:rPr>
        <w:rFonts w:hint="default"/>
      </w:rPr>
    </w:lvl>
    <w:lvl w:ilvl="5">
      <w:start w:val="0"/>
      <w:numFmt w:val="bullet"/>
      <w:lvlText w:val="•"/>
      <w:lvlJc w:val="left"/>
      <w:pPr>
        <w:ind w:left="5715" w:hanging="281"/>
      </w:pPr>
      <w:rPr>
        <w:rFonts w:hint="default"/>
      </w:rPr>
    </w:lvl>
    <w:lvl w:ilvl="6">
      <w:start w:val="0"/>
      <w:numFmt w:val="bullet"/>
      <w:lvlText w:val="•"/>
      <w:lvlJc w:val="left"/>
      <w:pPr>
        <w:ind w:left="6606" w:hanging="281"/>
      </w:pPr>
      <w:rPr>
        <w:rFonts w:hint="default"/>
      </w:rPr>
    </w:lvl>
    <w:lvl w:ilvl="7">
      <w:start w:val="0"/>
      <w:numFmt w:val="bullet"/>
      <w:lvlText w:val="•"/>
      <w:lvlJc w:val="left"/>
      <w:pPr>
        <w:ind w:left="7497" w:hanging="281"/>
      </w:pPr>
      <w:rPr>
        <w:rFonts w:hint="default"/>
      </w:rPr>
    </w:lvl>
    <w:lvl w:ilvl="8">
      <w:start w:val="0"/>
      <w:numFmt w:val="bullet"/>
      <w:lvlText w:val="•"/>
      <w:lvlJc w:val="left"/>
      <w:pPr>
        <w:ind w:left="8388" w:hanging="281"/>
      </w:pPr>
      <w:rPr>
        <w:rFonts w:hint="default"/>
      </w:rPr>
    </w:lvl>
  </w:abstractNum>
  <w:abstractNum w:abstractNumId="8">
    <w:multiLevelType w:val="hybridMultilevel"/>
    <w:lvl w:ilvl="0">
      <w:start w:val="0"/>
      <w:numFmt w:val="bullet"/>
      <w:lvlText w:val="-"/>
      <w:lvlJc w:val="left"/>
      <w:pPr>
        <w:ind w:left="985" w:hanging="144"/>
      </w:pPr>
      <w:rPr>
        <w:rFonts w:hint="default"/>
        <w:w w:val="100"/>
      </w:rPr>
    </w:lvl>
    <w:lvl w:ilvl="1">
      <w:start w:val="0"/>
      <w:numFmt w:val="bullet"/>
      <w:lvlText w:val="•"/>
      <w:lvlJc w:val="left"/>
      <w:pPr>
        <w:ind w:left="1899" w:hanging="144"/>
      </w:pPr>
      <w:rPr>
        <w:rFonts w:hint="default"/>
      </w:rPr>
    </w:lvl>
    <w:lvl w:ilvl="2">
      <w:start w:val="0"/>
      <w:numFmt w:val="bullet"/>
      <w:lvlText w:val="•"/>
      <w:lvlJc w:val="left"/>
      <w:pPr>
        <w:ind w:left="2818" w:hanging="144"/>
      </w:pPr>
      <w:rPr>
        <w:rFonts w:hint="default"/>
      </w:rPr>
    </w:lvl>
    <w:lvl w:ilvl="3">
      <w:start w:val="0"/>
      <w:numFmt w:val="bullet"/>
      <w:lvlText w:val="•"/>
      <w:lvlJc w:val="left"/>
      <w:pPr>
        <w:ind w:left="3737" w:hanging="144"/>
      </w:pPr>
      <w:rPr>
        <w:rFonts w:hint="default"/>
      </w:rPr>
    </w:lvl>
    <w:lvl w:ilvl="4">
      <w:start w:val="0"/>
      <w:numFmt w:val="bullet"/>
      <w:lvlText w:val="•"/>
      <w:lvlJc w:val="left"/>
      <w:pPr>
        <w:ind w:left="4656" w:hanging="144"/>
      </w:pPr>
      <w:rPr>
        <w:rFonts w:hint="default"/>
      </w:rPr>
    </w:lvl>
    <w:lvl w:ilvl="5">
      <w:start w:val="0"/>
      <w:numFmt w:val="bullet"/>
      <w:lvlText w:val="•"/>
      <w:lvlJc w:val="left"/>
      <w:pPr>
        <w:ind w:left="5575" w:hanging="144"/>
      </w:pPr>
      <w:rPr>
        <w:rFonts w:hint="default"/>
      </w:rPr>
    </w:lvl>
    <w:lvl w:ilvl="6">
      <w:start w:val="0"/>
      <w:numFmt w:val="bullet"/>
      <w:lvlText w:val="•"/>
      <w:lvlJc w:val="left"/>
      <w:pPr>
        <w:ind w:left="6494" w:hanging="144"/>
      </w:pPr>
      <w:rPr>
        <w:rFonts w:hint="default"/>
      </w:rPr>
    </w:lvl>
    <w:lvl w:ilvl="7">
      <w:start w:val="0"/>
      <w:numFmt w:val="bullet"/>
      <w:lvlText w:val="•"/>
      <w:lvlJc w:val="left"/>
      <w:pPr>
        <w:ind w:left="7413" w:hanging="144"/>
      </w:pPr>
      <w:rPr>
        <w:rFonts w:hint="default"/>
      </w:rPr>
    </w:lvl>
    <w:lvl w:ilvl="8">
      <w:start w:val="0"/>
      <w:numFmt w:val="bullet"/>
      <w:lvlText w:val="•"/>
      <w:lvlJc w:val="left"/>
      <w:pPr>
        <w:ind w:left="8332" w:hanging="144"/>
      </w:pPr>
      <w:rPr>
        <w:rFonts w:hint="default"/>
      </w:rPr>
    </w:lvl>
  </w:abstractNum>
  <w:abstractNum w:abstractNumId="7">
    <w:multiLevelType w:val="hybridMultilevel"/>
    <w:lvl w:ilvl="0">
      <w:start w:val="4"/>
      <w:numFmt w:val="decimal"/>
      <w:lvlText w:val="%1."/>
      <w:lvlJc w:val="left"/>
      <w:pPr>
        <w:ind w:left="558" w:hanging="425"/>
        <w:jc w:val="left"/>
      </w:pPr>
      <w:rPr>
        <w:rFonts w:hint="default" w:ascii="Calibri" w:hAnsi="Calibri" w:eastAsia="Calibri" w:cs="Calibri"/>
        <w:b/>
        <w:bCs/>
        <w:color w:val="585858"/>
        <w:spacing w:val="-1"/>
        <w:w w:val="100"/>
        <w:sz w:val="28"/>
        <w:szCs w:val="28"/>
      </w:rPr>
    </w:lvl>
    <w:lvl w:ilvl="1">
      <w:start w:val="0"/>
      <w:numFmt w:val="bullet"/>
      <w:lvlText w:val="•"/>
      <w:lvlJc w:val="left"/>
      <w:pPr>
        <w:ind w:left="1210" w:hanging="358"/>
      </w:pPr>
      <w:rPr>
        <w:rFonts w:hint="default" w:ascii="Calibri" w:hAnsi="Calibri" w:eastAsia="Calibri" w:cs="Calibri"/>
        <w:w w:val="100"/>
        <w:sz w:val="22"/>
        <w:szCs w:val="22"/>
      </w:rPr>
    </w:lvl>
    <w:lvl w:ilvl="2">
      <w:start w:val="0"/>
      <w:numFmt w:val="bullet"/>
      <w:lvlText w:val="o"/>
      <w:lvlJc w:val="left"/>
      <w:pPr>
        <w:ind w:left="1573" w:hanging="360"/>
      </w:pPr>
      <w:rPr>
        <w:rFonts w:hint="default" w:ascii="Courier New" w:hAnsi="Courier New" w:eastAsia="Courier New" w:cs="Courier New"/>
        <w:w w:val="100"/>
        <w:sz w:val="22"/>
        <w:szCs w:val="22"/>
      </w:rPr>
    </w:lvl>
    <w:lvl w:ilvl="3">
      <w:start w:val="0"/>
      <w:numFmt w:val="bullet"/>
      <w:lvlText w:val="•"/>
      <w:lvlJc w:val="left"/>
      <w:pPr>
        <w:ind w:left="2653" w:hanging="360"/>
      </w:pPr>
      <w:rPr>
        <w:rFonts w:hint="default"/>
      </w:rPr>
    </w:lvl>
    <w:lvl w:ilvl="4">
      <w:start w:val="0"/>
      <w:numFmt w:val="bullet"/>
      <w:lvlText w:val="•"/>
      <w:lvlJc w:val="left"/>
      <w:pPr>
        <w:ind w:left="3727" w:hanging="360"/>
      </w:pPr>
      <w:rPr>
        <w:rFonts w:hint="default"/>
      </w:rPr>
    </w:lvl>
    <w:lvl w:ilvl="5">
      <w:start w:val="0"/>
      <w:numFmt w:val="bullet"/>
      <w:lvlText w:val="•"/>
      <w:lvlJc w:val="left"/>
      <w:pPr>
        <w:ind w:left="4801" w:hanging="360"/>
      </w:pPr>
      <w:rPr>
        <w:rFonts w:hint="default"/>
      </w:rPr>
    </w:lvl>
    <w:lvl w:ilvl="6">
      <w:start w:val="0"/>
      <w:numFmt w:val="bullet"/>
      <w:lvlText w:val="•"/>
      <w:lvlJc w:val="left"/>
      <w:pPr>
        <w:ind w:left="5875" w:hanging="360"/>
      </w:pPr>
      <w:rPr>
        <w:rFonts w:hint="default"/>
      </w:rPr>
    </w:lvl>
    <w:lvl w:ilvl="7">
      <w:start w:val="0"/>
      <w:numFmt w:val="bullet"/>
      <w:lvlText w:val="•"/>
      <w:lvlJc w:val="left"/>
      <w:pPr>
        <w:ind w:left="6949" w:hanging="360"/>
      </w:pPr>
      <w:rPr>
        <w:rFonts w:hint="default"/>
      </w:rPr>
    </w:lvl>
    <w:lvl w:ilvl="8">
      <w:start w:val="0"/>
      <w:numFmt w:val="bullet"/>
      <w:lvlText w:val="•"/>
      <w:lvlJc w:val="left"/>
      <w:pPr>
        <w:ind w:left="8023" w:hanging="360"/>
      </w:pPr>
      <w:rPr>
        <w:rFonts w:hint="default"/>
      </w:rPr>
    </w:lvl>
  </w:abstractNum>
  <w:abstractNum w:abstractNumId="6">
    <w:multiLevelType w:val="hybridMultilevel"/>
    <w:lvl w:ilvl="0">
      <w:start w:val="0"/>
      <w:numFmt w:val="bullet"/>
      <w:lvlText w:val="-"/>
      <w:lvlJc w:val="left"/>
      <w:pPr>
        <w:ind w:left="985" w:hanging="144"/>
      </w:pPr>
      <w:rPr>
        <w:rFonts w:hint="default" w:ascii="Calibri" w:hAnsi="Calibri" w:eastAsia="Calibri" w:cs="Calibri"/>
        <w:color w:val="27A1B7"/>
        <w:w w:val="100"/>
        <w:sz w:val="22"/>
        <w:szCs w:val="22"/>
      </w:rPr>
    </w:lvl>
    <w:lvl w:ilvl="1">
      <w:start w:val="0"/>
      <w:numFmt w:val="bullet"/>
      <w:lvlText w:val="•"/>
      <w:lvlJc w:val="left"/>
      <w:pPr>
        <w:ind w:left="1899" w:hanging="144"/>
      </w:pPr>
      <w:rPr>
        <w:rFonts w:hint="default"/>
      </w:rPr>
    </w:lvl>
    <w:lvl w:ilvl="2">
      <w:start w:val="0"/>
      <w:numFmt w:val="bullet"/>
      <w:lvlText w:val="•"/>
      <w:lvlJc w:val="left"/>
      <w:pPr>
        <w:ind w:left="2818" w:hanging="144"/>
      </w:pPr>
      <w:rPr>
        <w:rFonts w:hint="default"/>
      </w:rPr>
    </w:lvl>
    <w:lvl w:ilvl="3">
      <w:start w:val="0"/>
      <w:numFmt w:val="bullet"/>
      <w:lvlText w:val="•"/>
      <w:lvlJc w:val="left"/>
      <w:pPr>
        <w:ind w:left="3737" w:hanging="144"/>
      </w:pPr>
      <w:rPr>
        <w:rFonts w:hint="default"/>
      </w:rPr>
    </w:lvl>
    <w:lvl w:ilvl="4">
      <w:start w:val="0"/>
      <w:numFmt w:val="bullet"/>
      <w:lvlText w:val="•"/>
      <w:lvlJc w:val="left"/>
      <w:pPr>
        <w:ind w:left="4656" w:hanging="144"/>
      </w:pPr>
      <w:rPr>
        <w:rFonts w:hint="default"/>
      </w:rPr>
    </w:lvl>
    <w:lvl w:ilvl="5">
      <w:start w:val="0"/>
      <w:numFmt w:val="bullet"/>
      <w:lvlText w:val="•"/>
      <w:lvlJc w:val="left"/>
      <w:pPr>
        <w:ind w:left="5575" w:hanging="144"/>
      </w:pPr>
      <w:rPr>
        <w:rFonts w:hint="default"/>
      </w:rPr>
    </w:lvl>
    <w:lvl w:ilvl="6">
      <w:start w:val="0"/>
      <w:numFmt w:val="bullet"/>
      <w:lvlText w:val="•"/>
      <w:lvlJc w:val="left"/>
      <w:pPr>
        <w:ind w:left="6494" w:hanging="144"/>
      </w:pPr>
      <w:rPr>
        <w:rFonts w:hint="default"/>
      </w:rPr>
    </w:lvl>
    <w:lvl w:ilvl="7">
      <w:start w:val="0"/>
      <w:numFmt w:val="bullet"/>
      <w:lvlText w:val="•"/>
      <w:lvlJc w:val="left"/>
      <w:pPr>
        <w:ind w:left="7413" w:hanging="144"/>
      </w:pPr>
      <w:rPr>
        <w:rFonts w:hint="default"/>
      </w:rPr>
    </w:lvl>
    <w:lvl w:ilvl="8">
      <w:start w:val="0"/>
      <w:numFmt w:val="bullet"/>
      <w:lvlText w:val="•"/>
      <w:lvlJc w:val="left"/>
      <w:pPr>
        <w:ind w:left="8332" w:hanging="144"/>
      </w:pPr>
      <w:rPr>
        <w:rFonts w:hint="default"/>
      </w:rPr>
    </w:lvl>
  </w:abstractNum>
  <w:abstractNum w:abstractNumId="5">
    <w:multiLevelType w:val="hybridMultilevel"/>
    <w:lvl w:ilvl="0">
      <w:start w:val="0"/>
      <w:numFmt w:val="bullet"/>
      <w:lvlText w:val="-"/>
      <w:lvlJc w:val="left"/>
      <w:pPr>
        <w:ind w:left="985" w:hanging="144"/>
      </w:pPr>
      <w:rPr>
        <w:rFonts w:hint="default" w:ascii="Calibri" w:hAnsi="Calibri" w:eastAsia="Calibri" w:cs="Calibri"/>
        <w:color w:val="27A1B7"/>
        <w:w w:val="100"/>
        <w:sz w:val="22"/>
        <w:szCs w:val="22"/>
      </w:rPr>
    </w:lvl>
    <w:lvl w:ilvl="1">
      <w:start w:val="0"/>
      <w:numFmt w:val="bullet"/>
      <w:lvlText w:val="•"/>
      <w:lvlJc w:val="left"/>
      <w:pPr>
        <w:ind w:left="1899" w:hanging="144"/>
      </w:pPr>
      <w:rPr>
        <w:rFonts w:hint="default"/>
      </w:rPr>
    </w:lvl>
    <w:lvl w:ilvl="2">
      <w:start w:val="0"/>
      <w:numFmt w:val="bullet"/>
      <w:lvlText w:val="•"/>
      <w:lvlJc w:val="left"/>
      <w:pPr>
        <w:ind w:left="2818" w:hanging="144"/>
      </w:pPr>
      <w:rPr>
        <w:rFonts w:hint="default"/>
      </w:rPr>
    </w:lvl>
    <w:lvl w:ilvl="3">
      <w:start w:val="0"/>
      <w:numFmt w:val="bullet"/>
      <w:lvlText w:val="•"/>
      <w:lvlJc w:val="left"/>
      <w:pPr>
        <w:ind w:left="3737" w:hanging="144"/>
      </w:pPr>
      <w:rPr>
        <w:rFonts w:hint="default"/>
      </w:rPr>
    </w:lvl>
    <w:lvl w:ilvl="4">
      <w:start w:val="0"/>
      <w:numFmt w:val="bullet"/>
      <w:lvlText w:val="•"/>
      <w:lvlJc w:val="left"/>
      <w:pPr>
        <w:ind w:left="4656" w:hanging="144"/>
      </w:pPr>
      <w:rPr>
        <w:rFonts w:hint="default"/>
      </w:rPr>
    </w:lvl>
    <w:lvl w:ilvl="5">
      <w:start w:val="0"/>
      <w:numFmt w:val="bullet"/>
      <w:lvlText w:val="•"/>
      <w:lvlJc w:val="left"/>
      <w:pPr>
        <w:ind w:left="5575" w:hanging="144"/>
      </w:pPr>
      <w:rPr>
        <w:rFonts w:hint="default"/>
      </w:rPr>
    </w:lvl>
    <w:lvl w:ilvl="6">
      <w:start w:val="0"/>
      <w:numFmt w:val="bullet"/>
      <w:lvlText w:val="•"/>
      <w:lvlJc w:val="left"/>
      <w:pPr>
        <w:ind w:left="6494" w:hanging="144"/>
      </w:pPr>
      <w:rPr>
        <w:rFonts w:hint="default"/>
      </w:rPr>
    </w:lvl>
    <w:lvl w:ilvl="7">
      <w:start w:val="0"/>
      <w:numFmt w:val="bullet"/>
      <w:lvlText w:val="•"/>
      <w:lvlJc w:val="left"/>
      <w:pPr>
        <w:ind w:left="7413" w:hanging="144"/>
      </w:pPr>
      <w:rPr>
        <w:rFonts w:hint="default"/>
      </w:rPr>
    </w:lvl>
    <w:lvl w:ilvl="8">
      <w:start w:val="0"/>
      <w:numFmt w:val="bullet"/>
      <w:lvlText w:val="•"/>
      <w:lvlJc w:val="left"/>
      <w:pPr>
        <w:ind w:left="8332" w:hanging="144"/>
      </w:pPr>
      <w:rPr>
        <w:rFonts w:hint="default"/>
      </w:rPr>
    </w:lvl>
  </w:abstractNum>
  <w:abstractNum w:abstractNumId="4">
    <w:multiLevelType w:val="hybridMultilevel"/>
    <w:lvl w:ilvl="0">
      <w:start w:val="0"/>
      <w:numFmt w:val="bullet"/>
      <w:lvlText w:val="-"/>
      <w:lvlJc w:val="left"/>
      <w:pPr>
        <w:ind w:left="985" w:hanging="144"/>
      </w:pPr>
      <w:rPr>
        <w:rFonts w:hint="default" w:ascii="Calibri" w:hAnsi="Calibri" w:eastAsia="Calibri" w:cs="Calibri"/>
        <w:color w:val="27A1B7"/>
        <w:w w:val="100"/>
        <w:sz w:val="22"/>
        <w:szCs w:val="22"/>
      </w:rPr>
    </w:lvl>
    <w:lvl w:ilvl="1">
      <w:start w:val="0"/>
      <w:numFmt w:val="bullet"/>
      <w:lvlText w:val="•"/>
      <w:lvlJc w:val="left"/>
      <w:pPr>
        <w:ind w:left="1899" w:hanging="144"/>
      </w:pPr>
      <w:rPr>
        <w:rFonts w:hint="default"/>
      </w:rPr>
    </w:lvl>
    <w:lvl w:ilvl="2">
      <w:start w:val="0"/>
      <w:numFmt w:val="bullet"/>
      <w:lvlText w:val="•"/>
      <w:lvlJc w:val="left"/>
      <w:pPr>
        <w:ind w:left="2818" w:hanging="144"/>
      </w:pPr>
      <w:rPr>
        <w:rFonts w:hint="default"/>
      </w:rPr>
    </w:lvl>
    <w:lvl w:ilvl="3">
      <w:start w:val="0"/>
      <w:numFmt w:val="bullet"/>
      <w:lvlText w:val="•"/>
      <w:lvlJc w:val="left"/>
      <w:pPr>
        <w:ind w:left="3737" w:hanging="144"/>
      </w:pPr>
      <w:rPr>
        <w:rFonts w:hint="default"/>
      </w:rPr>
    </w:lvl>
    <w:lvl w:ilvl="4">
      <w:start w:val="0"/>
      <w:numFmt w:val="bullet"/>
      <w:lvlText w:val="•"/>
      <w:lvlJc w:val="left"/>
      <w:pPr>
        <w:ind w:left="4656" w:hanging="144"/>
      </w:pPr>
      <w:rPr>
        <w:rFonts w:hint="default"/>
      </w:rPr>
    </w:lvl>
    <w:lvl w:ilvl="5">
      <w:start w:val="0"/>
      <w:numFmt w:val="bullet"/>
      <w:lvlText w:val="•"/>
      <w:lvlJc w:val="left"/>
      <w:pPr>
        <w:ind w:left="5575" w:hanging="144"/>
      </w:pPr>
      <w:rPr>
        <w:rFonts w:hint="default"/>
      </w:rPr>
    </w:lvl>
    <w:lvl w:ilvl="6">
      <w:start w:val="0"/>
      <w:numFmt w:val="bullet"/>
      <w:lvlText w:val="•"/>
      <w:lvlJc w:val="left"/>
      <w:pPr>
        <w:ind w:left="6494" w:hanging="144"/>
      </w:pPr>
      <w:rPr>
        <w:rFonts w:hint="default"/>
      </w:rPr>
    </w:lvl>
    <w:lvl w:ilvl="7">
      <w:start w:val="0"/>
      <w:numFmt w:val="bullet"/>
      <w:lvlText w:val="•"/>
      <w:lvlJc w:val="left"/>
      <w:pPr>
        <w:ind w:left="7413" w:hanging="144"/>
      </w:pPr>
      <w:rPr>
        <w:rFonts w:hint="default"/>
      </w:rPr>
    </w:lvl>
    <w:lvl w:ilvl="8">
      <w:start w:val="0"/>
      <w:numFmt w:val="bullet"/>
      <w:lvlText w:val="•"/>
      <w:lvlJc w:val="left"/>
      <w:pPr>
        <w:ind w:left="8332" w:hanging="144"/>
      </w:pPr>
      <w:rPr>
        <w:rFonts w:hint="default"/>
      </w:rPr>
    </w:lvl>
  </w:abstractNum>
  <w:abstractNum w:abstractNumId="3">
    <w:multiLevelType w:val="hybridMultilevel"/>
    <w:lvl w:ilvl="0">
      <w:start w:val="0"/>
      <w:numFmt w:val="bullet"/>
      <w:lvlText w:val="-"/>
      <w:lvlJc w:val="left"/>
      <w:pPr>
        <w:ind w:left="985" w:hanging="144"/>
      </w:pPr>
      <w:rPr>
        <w:rFonts w:hint="default"/>
        <w:w w:val="100"/>
      </w:rPr>
    </w:lvl>
    <w:lvl w:ilvl="1">
      <w:start w:val="0"/>
      <w:numFmt w:val="bullet"/>
      <w:lvlText w:val="•"/>
      <w:lvlJc w:val="left"/>
      <w:pPr>
        <w:ind w:left="1899" w:hanging="144"/>
      </w:pPr>
      <w:rPr>
        <w:rFonts w:hint="default"/>
      </w:rPr>
    </w:lvl>
    <w:lvl w:ilvl="2">
      <w:start w:val="0"/>
      <w:numFmt w:val="bullet"/>
      <w:lvlText w:val="•"/>
      <w:lvlJc w:val="left"/>
      <w:pPr>
        <w:ind w:left="2818" w:hanging="144"/>
      </w:pPr>
      <w:rPr>
        <w:rFonts w:hint="default"/>
      </w:rPr>
    </w:lvl>
    <w:lvl w:ilvl="3">
      <w:start w:val="0"/>
      <w:numFmt w:val="bullet"/>
      <w:lvlText w:val="•"/>
      <w:lvlJc w:val="left"/>
      <w:pPr>
        <w:ind w:left="3737" w:hanging="144"/>
      </w:pPr>
      <w:rPr>
        <w:rFonts w:hint="default"/>
      </w:rPr>
    </w:lvl>
    <w:lvl w:ilvl="4">
      <w:start w:val="0"/>
      <w:numFmt w:val="bullet"/>
      <w:lvlText w:val="•"/>
      <w:lvlJc w:val="left"/>
      <w:pPr>
        <w:ind w:left="4656" w:hanging="144"/>
      </w:pPr>
      <w:rPr>
        <w:rFonts w:hint="default"/>
      </w:rPr>
    </w:lvl>
    <w:lvl w:ilvl="5">
      <w:start w:val="0"/>
      <w:numFmt w:val="bullet"/>
      <w:lvlText w:val="•"/>
      <w:lvlJc w:val="left"/>
      <w:pPr>
        <w:ind w:left="5575" w:hanging="144"/>
      </w:pPr>
      <w:rPr>
        <w:rFonts w:hint="default"/>
      </w:rPr>
    </w:lvl>
    <w:lvl w:ilvl="6">
      <w:start w:val="0"/>
      <w:numFmt w:val="bullet"/>
      <w:lvlText w:val="•"/>
      <w:lvlJc w:val="left"/>
      <w:pPr>
        <w:ind w:left="6494" w:hanging="144"/>
      </w:pPr>
      <w:rPr>
        <w:rFonts w:hint="default"/>
      </w:rPr>
    </w:lvl>
    <w:lvl w:ilvl="7">
      <w:start w:val="0"/>
      <w:numFmt w:val="bullet"/>
      <w:lvlText w:val="•"/>
      <w:lvlJc w:val="left"/>
      <w:pPr>
        <w:ind w:left="7413" w:hanging="144"/>
      </w:pPr>
      <w:rPr>
        <w:rFonts w:hint="default"/>
      </w:rPr>
    </w:lvl>
    <w:lvl w:ilvl="8">
      <w:start w:val="0"/>
      <w:numFmt w:val="bullet"/>
      <w:lvlText w:val="•"/>
      <w:lvlJc w:val="left"/>
      <w:pPr>
        <w:ind w:left="8332" w:hanging="144"/>
      </w:pPr>
      <w:rPr>
        <w:rFonts w:hint="default"/>
      </w:rPr>
    </w:lvl>
  </w:abstractNum>
  <w:abstractNum w:abstractNumId="2">
    <w:multiLevelType w:val="hybridMultilevel"/>
    <w:lvl w:ilvl="0">
      <w:start w:val="1"/>
      <w:numFmt w:val="decimal"/>
      <w:lvlText w:val="%1."/>
      <w:lvlJc w:val="left"/>
      <w:pPr>
        <w:ind w:left="558" w:hanging="425"/>
        <w:jc w:val="left"/>
      </w:pPr>
      <w:rPr>
        <w:rFonts w:hint="default" w:ascii="Calibri" w:hAnsi="Calibri" w:eastAsia="Calibri" w:cs="Calibri"/>
        <w:b/>
        <w:bCs/>
        <w:w w:val="100"/>
        <w:sz w:val="22"/>
        <w:szCs w:val="22"/>
      </w:rPr>
    </w:lvl>
    <w:lvl w:ilvl="1">
      <w:start w:val="1"/>
      <w:numFmt w:val="lowerLetter"/>
      <w:lvlText w:val="%2."/>
      <w:lvlJc w:val="left"/>
      <w:pPr>
        <w:ind w:left="1201" w:hanging="216"/>
        <w:jc w:val="left"/>
      </w:pPr>
      <w:rPr>
        <w:rFonts w:hint="default"/>
        <w:spacing w:val="-1"/>
        <w:w w:val="100"/>
      </w:rPr>
    </w:lvl>
    <w:lvl w:ilvl="2">
      <w:start w:val="0"/>
      <w:numFmt w:val="bullet"/>
      <w:lvlText w:val="-"/>
      <w:lvlJc w:val="left"/>
      <w:pPr>
        <w:ind w:left="1410" w:hanging="216"/>
      </w:pPr>
      <w:rPr>
        <w:rFonts w:hint="default" w:ascii="Calibri" w:hAnsi="Calibri" w:eastAsia="Calibri" w:cs="Calibri"/>
        <w:color w:val="00991D"/>
        <w:w w:val="100"/>
        <w:sz w:val="22"/>
        <w:szCs w:val="22"/>
      </w:rPr>
    </w:lvl>
    <w:lvl w:ilvl="3">
      <w:start w:val="0"/>
      <w:numFmt w:val="bullet"/>
      <w:lvlText w:val="•"/>
      <w:lvlJc w:val="left"/>
      <w:pPr>
        <w:ind w:left="1420" w:hanging="216"/>
      </w:pPr>
      <w:rPr>
        <w:rFonts w:hint="default"/>
      </w:rPr>
    </w:lvl>
    <w:lvl w:ilvl="4">
      <w:start w:val="0"/>
      <w:numFmt w:val="bullet"/>
      <w:lvlText w:val="•"/>
      <w:lvlJc w:val="left"/>
      <w:pPr>
        <w:ind w:left="2670" w:hanging="216"/>
      </w:pPr>
      <w:rPr>
        <w:rFonts w:hint="default"/>
      </w:rPr>
    </w:lvl>
    <w:lvl w:ilvl="5">
      <w:start w:val="0"/>
      <w:numFmt w:val="bullet"/>
      <w:lvlText w:val="•"/>
      <w:lvlJc w:val="left"/>
      <w:pPr>
        <w:ind w:left="3920" w:hanging="216"/>
      </w:pPr>
      <w:rPr>
        <w:rFonts w:hint="default"/>
      </w:rPr>
    </w:lvl>
    <w:lvl w:ilvl="6">
      <w:start w:val="0"/>
      <w:numFmt w:val="bullet"/>
      <w:lvlText w:val="•"/>
      <w:lvlJc w:val="left"/>
      <w:pPr>
        <w:ind w:left="5170" w:hanging="216"/>
      </w:pPr>
      <w:rPr>
        <w:rFonts w:hint="default"/>
      </w:rPr>
    </w:lvl>
    <w:lvl w:ilvl="7">
      <w:start w:val="0"/>
      <w:numFmt w:val="bullet"/>
      <w:lvlText w:val="•"/>
      <w:lvlJc w:val="left"/>
      <w:pPr>
        <w:ind w:left="6420" w:hanging="216"/>
      </w:pPr>
      <w:rPr>
        <w:rFonts w:hint="default"/>
      </w:rPr>
    </w:lvl>
    <w:lvl w:ilvl="8">
      <w:start w:val="0"/>
      <w:numFmt w:val="bullet"/>
      <w:lvlText w:val="•"/>
      <w:lvlJc w:val="left"/>
      <w:pPr>
        <w:ind w:left="7670" w:hanging="216"/>
      </w:pPr>
      <w:rPr>
        <w:rFonts w:hint="default"/>
      </w:rPr>
    </w:lvl>
  </w:abstractNum>
  <w:abstractNum w:abstractNumId="1">
    <w:multiLevelType w:val="hybridMultilevel"/>
    <w:lvl w:ilvl="0">
      <w:start w:val="1"/>
      <w:numFmt w:val="decimal"/>
      <w:lvlText w:val="%1."/>
      <w:lvlJc w:val="left"/>
      <w:pPr>
        <w:ind w:left="558" w:hanging="425"/>
        <w:jc w:val="left"/>
      </w:pPr>
      <w:rPr>
        <w:rFonts w:hint="default" w:ascii="Calibri" w:hAnsi="Calibri" w:eastAsia="Calibri" w:cs="Calibri"/>
        <w:b/>
        <w:bCs/>
        <w:color w:val="585858"/>
        <w:spacing w:val="-1"/>
        <w:w w:val="100"/>
        <w:sz w:val="28"/>
        <w:szCs w:val="28"/>
      </w:rPr>
    </w:lvl>
    <w:lvl w:ilvl="1">
      <w:start w:val="1"/>
      <w:numFmt w:val="decimal"/>
      <w:lvlText w:val="%2."/>
      <w:lvlJc w:val="left"/>
      <w:pPr>
        <w:ind w:left="1573" w:hanging="360"/>
        <w:jc w:val="left"/>
      </w:pPr>
      <w:rPr>
        <w:rFonts w:hint="default" w:ascii="Calibri" w:hAnsi="Calibri" w:eastAsia="Calibri" w:cs="Calibri"/>
        <w:color w:val="585858"/>
        <w:w w:val="100"/>
        <w:sz w:val="22"/>
        <w:szCs w:val="22"/>
      </w:rPr>
    </w:lvl>
    <w:lvl w:ilvl="2">
      <w:start w:val="0"/>
      <w:numFmt w:val="bullet"/>
      <w:lvlText w:val="•"/>
      <w:lvlJc w:val="left"/>
      <w:pPr>
        <w:ind w:left="2534" w:hanging="360"/>
      </w:pPr>
      <w:rPr>
        <w:rFonts w:hint="default"/>
      </w:rPr>
    </w:lvl>
    <w:lvl w:ilvl="3">
      <w:start w:val="0"/>
      <w:numFmt w:val="bullet"/>
      <w:lvlText w:val="•"/>
      <w:lvlJc w:val="left"/>
      <w:pPr>
        <w:ind w:left="3489" w:hanging="360"/>
      </w:pPr>
      <w:rPr>
        <w:rFonts w:hint="default"/>
      </w:rPr>
    </w:lvl>
    <w:lvl w:ilvl="4">
      <w:start w:val="0"/>
      <w:numFmt w:val="bullet"/>
      <w:lvlText w:val="•"/>
      <w:lvlJc w:val="left"/>
      <w:pPr>
        <w:ind w:left="4443" w:hanging="360"/>
      </w:pPr>
      <w:rPr>
        <w:rFonts w:hint="default"/>
      </w:rPr>
    </w:lvl>
    <w:lvl w:ilvl="5">
      <w:start w:val="0"/>
      <w:numFmt w:val="bullet"/>
      <w:lvlText w:val="•"/>
      <w:lvlJc w:val="left"/>
      <w:pPr>
        <w:ind w:left="5398" w:hanging="360"/>
      </w:pPr>
      <w:rPr>
        <w:rFonts w:hint="default"/>
      </w:rPr>
    </w:lvl>
    <w:lvl w:ilvl="6">
      <w:start w:val="0"/>
      <w:numFmt w:val="bullet"/>
      <w:lvlText w:val="•"/>
      <w:lvlJc w:val="left"/>
      <w:pPr>
        <w:ind w:left="6352" w:hanging="360"/>
      </w:pPr>
      <w:rPr>
        <w:rFonts w:hint="default"/>
      </w:rPr>
    </w:lvl>
    <w:lvl w:ilvl="7">
      <w:start w:val="0"/>
      <w:numFmt w:val="bullet"/>
      <w:lvlText w:val="•"/>
      <w:lvlJc w:val="left"/>
      <w:pPr>
        <w:ind w:left="7307" w:hanging="360"/>
      </w:pPr>
      <w:rPr>
        <w:rFonts w:hint="default"/>
      </w:rPr>
    </w:lvl>
    <w:lvl w:ilvl="8">
      <w:start w:val="0"/>
      <w:numFmt w:val="bullet"/>
      <w:lvlText w:val="•"/>
      <w:lvlJc w:val="left"/>
      <w:pPr>
        <w:ind w:left="8262" w:hanging="360"/>
      </w:pPr>
      <w:rPr>
        <w:rFonts w:hint="default"/>
      </w:rPr>
    </w:lvl>
  </w:abstractNum>
  <w:abstractNum w:abstractNumId="0">
    <w:multiLevelType w:val="hybridMultilevel"/>
    <w:lvl w:ilvl="0">
      <w:start w:val="1"/>
      <w:numFmt w:val="decimal"/>
      <w:lvlText w:val="%1."/>
      <w:lvlJc w:val="left"/>
      <w:pPr>
        <w:ind w:left="572" w:hanging="440"/>
        <w:jc w:val="left"/>
      </w:pPr>
      <w:rPr>
        <w:rFonts w:hint="default" w:ascii="Calibri" w:hAnsi="Calibri" w:eastAsia="Calibri" w:cs="Calibri"/>
        <w:b/>
        <w:bCs/>
        <w:color w:val="585858"/>
        <w:spacing w:val="-2"/>
        <w:w w:val="100"/>
        <w:sz w:val="24"/>
        <w:szCs w:val="24"/>
      </w:rPr>
    </w:lvl>
    <w:lvl w:ilvl="1">
      <w:start w:val="0"/>
      <w:numFmt w:val="bullet"/>
      <w:lvlText w:val="•"/>
      <w:lvlJc w:val="left"/>
      <w:pPr>
        <w:ind w:left="1539" w:hanging="440"/>
      </w:pPr>
      <w:rPr>
        <w:rFonts w:hint="default"/>
      </w:rPr>
    </w:lvl>
    <w:lvl w:ilvl="2">
      <w:start w:val="0"/>
      <w:numFmt w:val="bullet"/>
      <w:lvlText w:val="•"/>
      <w:lvlJc w:val="left"/>
      <w:pPr>
        <w:ind w:left="2498" w:hanging="440"/>
      </w:pPr>
      <w:rPr>
        <w:rFonts w:hint="default"/>
      </w:rPr>
    </w:lvl>
    <w:lvl w:ilvl="3">
      <w:start w:val="0"/>
      <w:numFmt w:val="bullet"/>
      <w:lvlText w:val="•"/>
      <w:lvlJc w:val="left"/>
      <w:pPr>
        <w:ind w:left="3457" w:hanging="440"/>
      </w:pPr>
      <w:rPr>
        <w:rFonts w:hint="default"/>
      </w:rPr>
    </w:lvl>
    <w:lvl w:ilvl="4">
      <w:start w:val="0"/>
      <w:numFmt w:val="bullet"/>
      <w:lvlText w:val="•"/>
      <w:lvlJc w:val="left"/>
      <w:pPr>
        <w:ind w:left="4416" w:hanging="440"/>
      </w:pPr>
      <w:rPr>
        <w:rFonts w:hint="default"/>
      </w:rPr>
    </w:lvl>
    <w:lvl w:ilvl="5">
      <w:start w:val="0"/>
      <w:numFmt w:val="bullet"/>
      <w:lvlText w:val="•"/>
      <w:lvlJc w:val="left"/>
      <w:pPr>
        <w:ind w:left="5375" w:hanging="440"/>
      </w:pPr>
      <w:rPr>
        <w:rFonts w:hint="default"/>
      </w:rPr>
    </w:lvl>
    <w:lvl w:ilvl="6">
      <w:start w:val="0"/>
      <w:numFmt w:val="bullet"/>
      <w:lvlText w:val="•"/>
      <w:lvlJc w:val="left"/>
      <w:pPr>
        <w:ind w:left="6334" w:hanging="440"/>
      </w:pPr>
      <w:rPr>
        <w:rFonts w:hint="default"/>
      </w:rPr>
    </w:lvl>
    <w:lvl w:ilvl="7">
      <w:start w:val="0"/>
      <w:numFmt w:val="bullet"/>
      <w:lvlText w:val="•"/>
      <w:lvlJc w:val="left"/>
      <w:pPr>
        <w:ind w:left="7293" w:hanging="440"/>
      </w:pPr>
      <w:rPr>
        <w:rFonts w:hint="default"/>
      </w:rPr>
    </w:lvl>
    <w:lvl w:ilvl="8">
      <w:start w:val="0"/>
      <w:numFmt w:val="bullet"/>
      <w:lvlText w:val="•"/>
      <w:lvlJc w:val="left"/>
      <w:pPr>
        <w:ind w:left="8252" w:hanging="440"/>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ind w:left="558" w:hanging="425"/>
      <w:outlineLvl w:val="1"/>
    </w:pPr>
    <w:rPr>
      <w:rFonts w:ascii="Calibri" w:hAnsi="Calibri" w:eastAsia="Calibri" w:cs="Calibri"/>
      <w:b/>
      <w:bCs/>
      <w:sz w:val="28"/>
      <w:szCs w:val="28"/>
    </w:rPr>
  </w:style>
  <w:style w:styleId="Heading2" w:type="paragraph">
    <w:name w:val="Heading 2"/>
    <w:basedOn w:val="Normal"/>
    <w:uiPriority w:val="1"/>
    <w:qFormat/>
    <w:pPr>
      <w:ind w:left="1072"/>
      <w:jc w:val="both"/>
      <w:outlineLvl w:val="2"/>
    </w:pPr>
    <w:rPr>
      <w:rFonts w:ascii="Calibri" w:hAnsi="Calibri" w:eastAsia="Calibri" w:cs="Calibri"/>
      <w:sz w:val="25"/>
      <w:szCs w:val="25"/>
    </w:rPr>
  </w:style>
  <w:style w:styleId="Heading3" w:type="paragraph">
    <w:name w:val="Heading 3"/>
    <w:basedOn w:val="Normal"/>
    <w:uiPriority w:val="1"/>
    <w:qFormat/>
    <w:pPr>
      <w:spacing w:before="120"/>
      <w:ind w:left="572" w:hanging="439"/>
      <w:outlineLvl w:val="3"/>
    </w:pPr>
    <w:rPr>
      <w:rFonts w:ascii="Calibri" w:hAnsi="Calibri" w:eastAsia="Calibri" w:cs="Calibri"/>
      <w:b/>
      <w:bCs/>
      <w:sz w:val="24"/>
      <w:szCs w:val="24"/>
    </w:rPr>
  </w:style>
  <w:style w:styleId="Heading4" w:type="paragraph">
    <w:name w:val="Heading 4"/>
    <w:basedOn w:val="Normal"/>
    <w:uiPriority w:val="1"/>
    <w:qFormat/>
    <w:pPr>
      <w:ind w:left="558"/>
      <w:outlineLvl w:val="4"/>
    </w:pPr>
    <w:rPr>
      <w:rFonts w:ascii="Calibri" w:hAnsi="Calibri" w:eastAsia="Calibri" w:cs="Calibri"/>
      <w:b/>
      <w:bCs/>
      <w:sz w:val="22"/>
      <w:szCs w:val="22"/>
    </w:rPr>
  </w:style>
  <w:style w:styleId="ListParagraph" w:type="paragraph">
    <w:name w:val="List Paragraph"/>
    <w:basedOn w:val="Normal"/>
    <w:uiPriority w:val="1"/>
    <w:qFormat/>
    <w:pPr>
      <w:ind w:left="985" w:hanging="144"/>
    </w:pPr>
    <w:rPr>
      <w:rFonts w:ascii="Calibri" w:hAnsi="Calibri" w:eastAsia="Calibri" w:cs="Calibri"/>
    </w:rPr>
  </w:style>
  <w:style w:styleId="TableParagraph" w:type="paragraph">
    <w:name w:val="Table Paragraph"/>
    <w:basedOn w:val="Normal"/>
    <w:uiPriority w:val="1"/>
    <w:qFormat/>
    <w:pPr>
      <w:spacing w:line="264" w:lineRule="exact"/>
      <w:ind w:left="68"/>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leap-re.eu/" TargetMode="External"/><Relationship Id="rId9" Type="http://schemas.openxmlformats.org/officeDocument/2006/relationships/hyperlink" Target="mailto:contact@leap-re.eu"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hyperlink" Target="mailto:Fadel.Traore@ANER.sn" TargetMode="External"/><Relationship Id="rId14" Type="http://schemas.openxmlformats.org/officeDocument/2006/relationships/hyperlink" Target="mailto:e@ANER.sn" TargetMode="External"/><Relationship Id="rId15" Type="http://schemas.openxmlformats.org/officeDocument/2006/relationships/hyperlink" Target="mailto:Stefan.Haffner@DLR.de" TargetMode="External"/><Relationship Id="rId16" Type="http://schemas.openxmlformats.org/officeDocument/2006/relationships/image" Target="media/image7.jpeg"/><Relationship Id="rId17" Type="http://schemas.openxmlformats.org/officeDocument/2006/relationships/footer" Target="footer1.xml"/><Relationship Id="rId18" Type="http://schemas.openxmlformats.org/officeDocument/2006/relationships/image" Target="media/image10.pn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footer" Target="footer2.xml"/><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footer" Target="footer3.xml"/><Relationship Id="rId3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Paper 3 - FRONT</dc:title>
  <dcterms:created xsi:type="dcterms:W3CDTF">2019-05-23T16:14:01Z</dcterms:created>
  <dcterms:modified xsi:type="dcterms:W3CDTF">2019-05-23T16:14:01Z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2019-05-23T00:00:00Z</vt:filetime>
  </property>
  <property fmtid="{D5CDD505-2E9C-101B-9397-08002B2CF9AE}" pid="3" name="Creator">
    <vt:lpwstr>Adobe Acrobat Pro DC 19.12.20034</vt:lpwstr>
  </property>
  <property fmtid="{D5CDD505-2E9C-101B-9397-08002B2CF9AE}" pid="4" name="LastSaved">
    <vt:filetime>2019-05-23T00:00:00Z</vt:filetime>
  </property>
</Properties>
</file>